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27" w:rsidRPr="004425A6" w:rsidRDefault="00C00027" w:rsidP="00C00027">
      <w:pPr>
        <w:widowControl/>
        <w:shd w:val="clear" w:color="auto" w:fill="FFFFFF"/>
        <w:spacing w:line="299" w:lineRule="atLeast"/>
        <w:jc w:val="center"/>
        <w:rPr>
          <w:rFonts w:ascii="微软雅黑" w:eastAsia="微软雅黑" w:hAnsi="微软雅黑" w:cs="宋体"/>
          <w:color w:val="000000"/>
          <w:kern w:val="0"/>
          <w:sz w:val="15"/>
          <w:szCs w:val="15"/>
          <w:u w:val="single"/>
        </w:rPr>
      </w:pPr>
      <w:r w:rsidRPr="004425A6">
        <w:rPr>
          <w:rFonts w:ascii="微软雅黑" w:eastAsia="微软雅黑" w:hAnsi="微软雅黑" w:cs="宋体"/>
          <w:b/>
          <w:bCs/>
          <w:color w:val="FF0000"/>
          <w:kern w:val="0"/>
          <w:sz w:val="36"/>
          <w:u w:val="single"/>
        </w:rPr>
        <w:t>《</w:t>
      </w:r>
      <w:r w:rsidR="004425A6" w:rsidRPr="004425A6">
        <w:rPr>
          <w:rFonts w:ascii="微软雅黑" w:eastAsia="微软雅黑" w:hAnsi="微软雅黑" w:cs="宋体" w:hint="eastAsia"/>
          <w:b/>
          <w:bCs/>
          <w:color w:val="FF0000"/>
          <w:kern w:val="0"/>
          <w:sz w:val="36"/>
          <w:u w:val="single"/>
        </w:rPr>
        <w:t>永洋</w:t>
      </w:r>
      <w:hyperlink r:id="rId7" w:tgtFrame="_blank" w:tooltip="《炼钢安全规程》AQ2001-2004（全文）" w:history="1">
        <w:r w:rsidRPr="004425A6">
          <w:rPr>
            <w:rFonts w:ascii="微软雅黑" w:eastAsia="微软雅黑" w:hAnsi="微软雅黑" w:cs="宋体"/>
            <w:b/>
            <w:bCs/>
            <w:color w:val="FF0000"/>
            <w:kern w:val="0"/>
            <w:sz w:val="36"/>
            <w:u w:val="single"/>
          </w:rPr>
          <w:t>炼钢安全规程</w:t>
        </w:r>
      </w:hyperlink>
      <w:r w:rsidRPr="004425A6">
        <w:rPr>
          <w:rFonts w:ascii="微软雅黑" w:eastAsia="微软雅黑" w:hAnsi="微软雅黑" w:cs="宋体"/>
          <w:b/>
          <w:bCs/>
          <w:color w:val="FF0000"/>
          <w:kern w:val="0"/>
          <w:sz w:val="36"/>
          <w:u w:val="single"/>
        </w:rPr>
        <w:t>》</w:t>
      </w:r>
    </w:p>
    <w:p w:rsidR="00C00027" w:rsidRP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sidRPr="00C00027">
        <w:rPr>
          <w:rFonts w:ascii="微软雅黑" w:eastAsia="微软雅黑" w:hAnsi="微软雅黑" w:cs="宋体"/>
          <w:color w:val="000000"/>
          <w:kern w:val="0"/>
          <w:sz w:val="15"/>
          <w:szCs w:val="15"/>
        </w:rPr>
        <w:t> </w:t>
      </w:r>
    </w:p>
    <w:p w:rsidR="00C00027" w:rsidRPr="00C00027" w:rsidRDefault="00C00027" w:rsidP="00C00027">
      <w:pPr>
        <w:widowControl/>
        <w:shd w:val="clear" w:color="auto" w:fill="FFFFFF"/>
        <w:spacing w:line="299" w:lineRule="atLeast"/>
        <w:jc w:val="center"/>
        <w:rPr>
          <w:rFonts w:ascii="微软雅黑" w:eastAsia="微软雅黑" w:hAnsi="微软雅黑" w:cs="宋体"/>
          <w:color w:val="000000"/>
          <w:kern w:val="0"/>
          <w:sz w:val="15"/>
          <w:szCs w:val="15"/>
        </w:rPr>
      </w:pPr>
      <w:r w:rsidRPr="00C00027">
        <w:rPr>
          <w:rFonts w:ascii="微软雅黑" w:eastAsia="微软雅黑" w:hAnsi="微软雅黑" w:cs="宋体"/>
          <w:b/>
          <w:bCs/>
          <w:color w:val="800080"/>
          <w:kern w:val="0"/>
          <w:sz w:val="15"/>
        </w:rPr>
        <w:t>前 言</w:t>
      </w:r>
    </w:p>
    <w:p w:rsidR="00C00027" w:rsidRP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sidRPr="00C00027">
        <w:rPr>
          <w:rFonts w:ascii="微软雅黑" w:eastAsia="微软雅黑" w:hAnsi="微软雅黑" w:cs="宋体"/>
          <w:color w:val="000000"/>
          <w:kern w:val="0"/>
          <w:sz w:val="15"/>
          <w:szCs w:val="15"/>
        </w:rPr>
        <w:br/>
        <w:t>本标准是依据国家有关法律法规的要求，在充分考虑炼钢生产工艺的特点(除存在通常的机械、电气、运输、起重等方面的危险因素外,还存在易燃易爆和有毒有害气体、高温热源、金属液体、炉渣、尘毒、放射源等方面的危险和有害因素)的基础上编制而成。</w:t>
      </w:r>
      <w:r w:rsidRPr="00C00027">
        <w:rPr>
          <w:rFonts w:ascii="微软雅黑" w:eastAsia="微软雅黑" w:hAnsi="微软雅黑" w:cs="宋体"/>
          <w:color w:val="000000"/>
          <w:kern w:val="0"/>
          <w:sz w:val="15"/>
          <w:szCs w:val="15"/>
        </w:rPr>
        <w:br/>
        <w:t>本标准对炼钢安全生产问题作出了规定．</w:t>
      </w:r>
      <w:r w:rsidRPr="00C00027">
        <w:rPr>
          <w:rFonts w:ascii="微软雅黑" w:eastAsia="微软雅黑" w:hAnsi="微软雅黑" w:cs="宋体"/>
          <w:color w:val="000000"/>
          <w:kern w:val="0"/>
          <w:sz w:val="15"/>
          <w:szCs w:val="15"/>
        </w:rPr>
        <w:br/>
      </w:r>
      <w:r w:rsidRPr="00C00027">
        <w:rPr>
          <w:rFonts w:ascii="微软雅黑" w:eastAsia="微软雅黑" w:hAnsi="微软雅黑" w:cs="宋体"/>
          <w:color w:val="000000"/>
          <w:kern w:val="0"/>
          <w:sz w:val="15"/>
          <w:szCs w:val="15"/>
        </w:rPr>
        <w:br/>
        <w:t>本标准由国家安全生产监督管理局提出并归口。</w:t>
      </w:r>
      <w:r w:rsidRPr="00C00027">
        <w:rPr>
          <w:rFonts w:ascii="微软雅黑" w:eastAsia="微软雅黑" w:hAnsi="微软雅黑" w:cs="宋体"/>
          <w:color w:val="000000"/>
          <w:kern w:val="0"/>
          <w:sz w:val="15"/>
          <w:szCs w:val="15"/>
        </w:rPr>
        <w:br/>
      </w:r>
      <w:r w:rsidRPr="00C00027">
        <w:rPr>
          <w:rFonts w:ascii="微软雅黑" w:eastAsia="微软雅黑" w:hAnsi="微软雅黑" w:cs="宋体"/>
          <w:color w:val="000000"/>
          <w:kern w:val="0"/>
          <w:sz w:val="15"/>
          <w:szCs w:val="15"/>
        </w:rPr>
        <w:br/>
        <w:t>本标准起草单位：武汉安全环保研究院、北京钢铁设计研究总院、首钢总公司。</w:t>
      </w:r>
      <w:r w:rsidRPr="00C00027">
        <w:rPr>
          <w:rFonts w:ascii="微软雅黑" w:eastAsia="微软雅黑" w:hAnsi="微软雅黑" w:cs="宋体"/>
          <w:color w:val="000000"/>
          <w:kern w:val="0"/>
          <w:sz w:val="15"/>
          <w:szCs w:val="15"/>
        </w:rPr>
        <w:br/>
      </w:r>
      <w:r w:rsidRPr="00C00027">
        <w:rPr>
          <w:rFonts w:ascii="微软雅黑" w:eastAsia="微软雅黑" w:hAnsi="微软雅黑" w:cs="宋体"/>
          <w:color w:val="000000"/>
          <w:kern w:val="0"/>
          <w:sz w:val="15"/>
          <w:szCs w:val="15"/>
        </w:rPr>
        <w:br/>
        <w:t>本标准主要起草人：张吉吉君、李晓飞、宋华德、万成略、张六零、陈克欣、王红汉、冯伟、刘洪军、聂岸、周报豪、邵建荣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 </w:t>
      </w:r>
    </w:p>
    <w:p w:rsidR="00C00027" w:rsidRPr="00C00027" w:rsidRDefault="00C00027" w:rsidP="00C00027">
      <w:pPr>
        <w:widowControl/>
        <w:shd w:val="clear" w:color="auto" w:fill="FFFFFF"/>
        <w:spacing w:line="299" w:lineRule="atLeast"/>
        <w:jc w:val="center"/>
        <w:rPr>
          <w:rFonts w:ascii="微软雅黑" w:eastAsia="微软雅黑" w:hAnsi="微软雅黑" w:cs="宋体"/>
          <w:color w:val="000000"/>
          <w:kern w:val="0"/>
          <w:sz w:val="15"/>
          <w:szCs w:val="15"/>
        </w:rPr>
      </w:pPr>
      <w:r w:rsidRPr="00C00027">
        <w:rPr>
          <w:rFonts w:ascii="微软雅黑" w:eastAsia="微软雅黑" w:hAnsi="微软雅黑" w:cs="宋体" w:hint="eastAsia"/>
          <w:b/>
          <w:bCs/>
          <w:color w:val="000000"/>
          <w:kern w:val="0"/>
          <w:sz w:val="36"/>
          <w:szCs w:val="36"/>
        </w:rPr>
        <w:br/>
      </w:r>
      <w:hyperlink r:id="rId8" w:tgtFrame="_blank" w:tooltip="《炼钢安全规程》AQ2001-2004（全文）" w:history="1">
        <w:r w:rsidRPr="00C00027">
          <w:rPr>
            <w:rFonts w:ascii="微软雅黑" w:eastAsia="微软雅黑" w:hAnsi="微软雅黑" w:cs="宋体" w:hint="eastAsia"/>
            <w:b/>
            <w:bCs/>
            <w:color w:val="3D3D3D"/>
            <w:kern w:val="0"/>
            <w:sz w:val="36"/>
            <w:u w:val="single"/>
          </w:rPr>
          <w:t>炼钢安全规程</w:t>
        </w:r>
      </w:hyperlink>
    </w:p>
    <w:p w:rsidR="00C00027" w:rsidRP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sidRPr="00C00027">
        <w:rPr>
          <w:rFonts w:ascii="微软雅黑" w:eastAsia="微软雅黑" w:hAnsi="微软雅黑" w:cs="宋体" w:hint="eastAsia"/>
          <w:color w:val="000000"/>
          <w:kern w:val="0"/>
          <w:sz w:val="15"/>
          <w:szCs w:val="15"/>
        </w:rPr>
        <w:t> </w:t>
      </w:r>
    </w:p>
    <w:p w:rsidR="00C00027" w:rsidRP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1 范围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本标准规定了炼钢安全生产的技术要求。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本标准适用于炼钢厂的设计、设备制造、施工安装、生产和设备检修。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2 规范性引用文件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4053．1 固定式钢直梯安全技术条件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4053．2 固定式钢斜梯安全技术条件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4053．3 固定式工业防护栏杆安全技术条件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4053．4 固定式工业钢平台</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GB 4387 工业企业厂内铁路、道路运输安全规程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4792 </w:t>
      </w:r>
      <w:hyperlink r:id="rId9" w:tgtFrame="_blank" w:tooltip="《放射卫生防护基本标准》GB4792-84（全文）" w:history="1">
        <w:r w:rsidRPr="00C00027">
          <w:rPr>
            <w:rFonts w:ascii="微软雅黑" w:eastAsia="微软雅黑" w:hAnsi="微软雅黑" w:cs="宋体" w:hint="eastAsia"/>
            <w:color w:val="3D3D3D"/>
            <w:kern w:val="0"/>
            <w:sz w:val="15"/>
            <w:u w:val="single"/>
          </w:rPr>
          <w:t>放射卫生防护基本标准</w:t>
        </w:r>
      </w:hyperlink>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5082 起重吊运指挥信号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5786 道路交通标志和标线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6067 起重机械安全规程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6222 </w:t>
      </w:r>
      <w:hyperlink r:id="rId10" w:tgtFrame="_blank" w:tooltip="《工业企业煤气安全规程》GB6222-2005（全文附PDF下载）" w:history="1">
        <w:r w:rsidRPr="00C00027">
          <w:rPr>
            <w:rFonts w:ascii="微软雅黑" w:eastAsia="微软雅黑" w:hAnsi="微软雅黑" w:cs="宋体" w:hint="eastAsia"/>
            <w:color w:val="3D3D3D"/>
            <w:kern w:val="0"/>
            <w:sz w:val="15"/>
            <w:u w:val="single"/>
          </w:rPr>
          <w:t>工业企业煤气安全规程</w:t>
        </w:r>
      </w:hyperlink>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6389 工业企业铁路道口安全标准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6722 爆破安全规程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7321 工业管路的基本识别色和识别符号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9078 工业炉窑大气污染物排放标准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GBl4784 带式输送机安全规范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GBl6912 氧气及相关气体安全技术规程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50030 氧气站设计规范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50031 乙炔站设计规范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50034 工业企业照明设计标准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 50235 工业金属管道施工及验收规范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GBJ 16 </w:t>
      </w:r>
      <w:hyperlink r:id="rId11" w:tgtFrame="_blank" w:tooltip="《建筑设计防火规范》GB50016-2014（2018年修订版全文）" w:history="1">
        <w:r w:rsidRPr="00C00027">
          <w:rPr>
            <w:rFonts w:ascii="微软雅黑" w:eastAsia="微软雅黑" w:hAnsi="微软雅黑" w:cs="宋体" w:hint="eastAsia"/>
            <w:color w:val="3D3D3D"/>
            <w:kern w:val="0"/>
            <w:sz w:val="15"/>
            <w:u w:val="single"/>
          </w:rPr>
          <w:t>建筑设计防火规范</w:t>
        </w:r>
      </w:hyperlink>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GBJ 22 厂矿道路设计规范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GBJ 87 工业企业噪声控制设计规范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GBZ 1 工业企业设计卫生标准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GBZ 2 工作场所有害因素职业接触限值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YBJ 52 钢铁企业总图运输设计规范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YB 9058 炼钢工艺设计技术规定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YB 9059 连铸工程设计规定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3 术语和定义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下列术语和定义适用于本标准。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3．1</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竖炉 Shaft Furnace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炉盖上带有竖井，并利用电弧炉排出的高温废气在竖井内预热废钢的超高功率电弧炉。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3．2</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PLUS2000炉 PLUS2000 Furnace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设有废钢料篮旋转装置，并利用自身高温废气预热废钢的超高功率电弧炉。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3．3</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CONSTEEL炉 CONSTEEL Furnace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废钢通过传送带连续加入．并经自身高温废气预热废钢的超高功率电弧炉。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3．4</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Korfarc炉 Korfarc Furnace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炉壁装设多组氧枪、烧嘴和浸入式风口，利用化学能与后燃烧技术节约电能的超高功率电弧炉。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3．5</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VD Vacuum Degassing</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一种钢液真空脱气装置，它将带钢液的钢包置于与真空泵连通的密闭的真空罐内，从钢包底部通入氩气搅拌钢液，使钢液在真空状态下发生脱气反应。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3．6</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VOD Vacuum Oxygen Decarburization</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一种主要用来精炼不锈钢的真空吹氧脱碳精炼装置，它在VD的真空罐盖上增设氧枪，向真空罐内钢液面吹氧，在真空状态下对含铬钢液进行“脱碳保铬”精炼。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3．7</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CAS-OB Composition Adjustments by Scaled Argon Bubbling and Blowing Oxygen</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一种在钢包内利用金属(铝)燃烧产生的氧化热加热钢液，或在浸入罩内加合金调整钢液成分的装置。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3．8</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IR-UT Injection Refinning-UpTemperature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一种在常压下对钢液既可进行喷粉脱硫精炼，又可吹氧加铝升温的装置，它是在浸入罩内增加一根插入钢液的喷粉枪，借以向钢液喷人脱硫剂。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3．9</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RH Ruhstahl hausen Process</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一种真空脱气方法，它利用真空罐底部两条插入钢液的耐火管，其中一条通以氨气，导致两管内的 钢液产生密度差，从而使钢液在钢包与真空罐之间上下循环流动，发生脱气反应。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3．10</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RH-KTB Kawatetse-Top Blown RH Vessel</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系指在RH真空罐顶部插入一根氧枪，并向钢液吹氧脱碳，用以精炼超低碳钢与不锈钢的方法。</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 11</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LF Ladle Furance</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一种在常压下从钢包底部吹氩，并用电弧炉对钢液进行加热以精炼钢液和均匀钢液成分、温度的 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3．12</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AOD Argon Oxygen Decarburization</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一种在转炉的钢液熔池侧面，按不同比例往钢液吹人氧气与氨气的脱碳精炼炉，主要用于冶炼不锈钢。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4 安全管理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 新建、改建、扩建工程项目的安全设施，应与主体工程同时设计、同时施工、同时投入生产和使用。安全设施的投资应纳</w:t>
      </w:r>
      <w:r w:rsidRPr="00C00027">
        <w:rPr>
          <w:rFonts w:ascii="微软雅黑" w:eastAsia="微软雅黑" w:hAnsi="微软雅黑" w:cs="宋体" w:hint="eastAsia"/>
          <w:color w:val="000000"/>
          <w:kern w:val="0"/>
          <w:sz w:val="15"/>
          <w:szCs w:val="15"/>
        </w:rPr>
        <w:lastRenderedPageBreak/>
        <w:t>入建设项目概算。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4．2 建设工程的初步设计文件应有《职业安全健康篇》。安全设计应贯穿于各专业设计之中。</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4．3 建设项目施工应按设计进行。变更安全设施，应经设计单位书面同意。</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工程中的隐蔽部分，应经设计单位、建设单位、监理单位和施工单位共同检查合格，方可进行隐蔽。施工完毕，施工单位应将竣工说明书及竣工图交付建设单位。</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4．4 建设工程的安全设施竣工后，应经验收合格方可投人生产。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4．5 炼钢企业应建立健全安全管理制度，完善安全生产责任制。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厂长(经理)对本企业的安全生产负全面责任，各级主要负责人对本部门的安全生产负责。各级机构对其职能范围的安全生产负责。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4．6 炼钢企业应依法设置安全生产管理机构或配备专(兼)职安全生产管理人员，负责管理本企业的安全生产工作。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4．7 炼钢企业应建立健全安全生产岗位责任制和岗位安全技术操作规程，严格执行值班制和交接班制．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4．8 炼钢企业应认真执行安全检查制度，对查出的问题应提出整改措施，并限期整改。</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4．9 炼钢企业的厂长(经理)应具备相应安全生产知识和管理能力．</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4．10 炼钢企业应定期对职工进行安全生产和劳动保护教育，普及安全知识和安全法规，加强业务技术培训。职工经考核合格方可上岗。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新工人进厂，应首先接受厂、车间、班组三级安全教育，经考试合格后由熟练工人带领工作，直到熟悉本工种操作技术并经考核合格，方可独立工作．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调换工种和脱岗三个月以上重新上岗的人员，应事先进行岗位安全培训，并经考核合格方可上岗。外来参观或学习的人员，应接受必要的安全教育，并应由专人带领。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4．11 特种作业人员和要害岗位、重要设备与设施的作业人员，均应经过专门的安全教育和培训，并经考核合格、取得操作资格证，方可上岗。上述人员的培训、考核、发证及复审，应按国家有关规定执行。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4．12 采用新工艺、新技术、新设备，应制定相应的安全技术措施；对有关生产人员，应进行专门的安全技术培训，并经考核合格方可上岗。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4．13 炼钢企业应为职工提供符合国家标准或行业标准的劳动防护用品，职工应正确佩戴和使用劳动防护用品．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4．14 炼钢企业应建立对厂房、机电设备进行定期检查，维修和清扫制度。要害岗位及电气、机械等设备应实行操作牌制度。</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4．15 安全装置和防护设施，不得擅自拆除。</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4．16 炼钢企业应建立火灾、爆炸、触电和毒物逸散等重大事故的应急救援预案，并配备必要的器材与设施，定期演练。</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4．17 炼钢企业发生伤亡或其他重大事故时，厂长(经理)或其代理人应立即到现场组织指挥抢救，并采取有效措施，防止事故扩大。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发生伤亡事故，应按国家有关规定报告和处理。 事故发生后，应及时调查分析，查清事故原因，并提出防止同类事故发生的措施。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5 厂(车间)位置的选择与布置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 厂(车间)位置的选择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5．1．1 选择厂(车间)的位置，应注意工程地质条件和洪水、诲潮、飓风、滑坡等灾害的危害，并按地震烈度等级标准设防．</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厂址地坪应高出当地最高洪水水位0．5 m以上，地处海岸边的应高于最高潮水位1 m以上；如受条件限制无法达到，应采取有效的补救措施．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5．1．2 厂(车间)应位于居住区常年最小频率风向的上风侧和当地生活水源的下游，并应有适当的安全健康防护距离。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5．1．3 炼钢厂不应邻近居民区、风景旅游区、文物保护区、生活水源地和重要农业区；选择厂址时，应同时考虑炼钢厂“三废”排放、弃置及噪声、电网闪烁等公害所产生的影响，并采取必要的防护措施。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炼钢厂的弃渣场，应位于居住区和水源地安全健康防护距离以外的低洼地带，并应考虑爆炸、扬尘、有害元素扩散的安全距离；厂内钢渣处理设施，应布置在主厂房常年最小频率风向的上风侧。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5．1．4 落锤破碎和爆破废钢的设施，应设在流动人员稀少的厂区边缘安全区域；与其他建筑物之间的安全距离，3 t、5t、7t落锤应分别大于30m、50m、80m，爆破应大于150m，并应采取必要的安全措施。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5．1．5 供油站、煤气柜、乙炔站等火灾和爆炸危险性较大的及产生有毒有害气体的设施，应位于厂区和居住区常年最小频率风向的上风侧。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5．1．6 氧气站应位于空气洁净区域，其空分设备的吸风口应位于各种易燃、易爆性气源与尘源的常年最小频率风向的下风侧。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5．1．7 各车间及设施的位置应符合防火、防爆、防震、工业卫生、运输安全等有关规程(规范)的规定及安全技术要求。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5．2 厂(车间)的布置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5．2．1 炼钢主车间的布置，应根据各种物料的流向，保证其能顾畅运行，互不交叉、干扰，并尽可能缩短铁水、废钢及钢坯(锭)等大宗物流的运输距离；如有条件，主车间出坯跨应尽可能与轧钢车间毗邻或直连，以实现坯(锭)热送或直接轧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5．2．2 炼钢主车间与各辅助车间(设施)，应布置在生产流程的顺行线上；铁水、钢水与液体渣，应设专线(或专用通道)运输，以减少其他物流干扰。</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5．2．3 炼钢主车间，应按从原料至成品(坯、锭)的生产流程，以各工序分区作业为原则，合理布置各工艺装备及生产设施，</w:t>
      </w:r>
      <w:r w:rsidRPr="00C00027">
        <w:rPr>
          <w:rFonts w:ascii="微软雅黑" w:eastAsia="微软雅黑" w:hAnsi="微软雅黑" w:cs="宋体" w:hint="eastAsia"/>
          <w:color w:val="000000"/>
          <w:kern w:val="0"/>
          <w:sz w:val="15"/>
          <w:szCs w:val="15"/>
        </w:rPr>
        <w:lastRenderedPageBreak/>
        <w:t>确保各工序安全、顺行。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5．2．4 炼钢厂内，应按消防规定设置必要的消防设施和消防通道，设置消防设施的地点，应有明显的标志牌。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6 厂房及其内部建、构筑物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 厂房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6．1．1 冶炼与浇注厂房内产生大量热量及有害气体、烟尘，设计应考虑良好的通风散热与采光条件；转炉、电炉、铁水贮运与预处理、精炼炉、钢水浇注等热源点上方，应有良好的通风道；热源点周围的建、构筑物应考虑高温影响，采取相应的隔热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 1．2 厂房结构应考虑风、雨，雪、灰等动(静)载荷及各种自然因素影响，主厂房屋面四周应设栏杆，并在适当位置设置清扫通道等；厂房应合理布置登上屋面的消防梯与检修梯。</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6．1．3 转炉与电炉冶炼跨，应采用炉子高架式布置厂房；容量50 t以上的炼钢车间，主要跨间的厂房宜采用钢结构；炼钢主厂房的布置形式及各跨间参数的确定，应符合YB 9058的要求。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6．1．4 炼钢主厂房，地坪应设置宽度不小于1．5 m的人行安全走道，走道两侧应有明显的标志线；主厂房及其他中、重级工作类型桥式起重机的厂房，应设置双侧贯通的起重机安全走道，轻级工作起重机厂房，应设单侧贯通的安全走道，走道宽度应不小于0．8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6．1．5 炼钢主厂房，应设置贯通各跨间，并与各跨间进出口及主工作平台相通的参观走廊，其宽度不小于1．5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6．1．6 厂房内地坪应高于厂房外地坪0．3 m以上，厂房内地面运输车辆的轨道面应与地坪面一致。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6．1．7 桥式起重机司机室与摩电道，原则上应相对布置；若两者位于同一侧，则应有安全防护措施。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6．1．8 应根据设计规定的安全标志设置要求和实际生产情况，在厂房内生产作业区域和有关建筑物适当部位，设置符合标准规定的安全标志。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6．1．9 厂房、烟囱等高大建筑物及易燃、易爆等危险设施，应按国家标准安装避雷设施。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 建、构筑物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 各种建、构筑物的建设，应符合土建规范的各项规定；各种设备与建、构筑物之间，应留有满足生产、检修需要的安全距离；移动车辆与建、构筑物之间，应有0．8m以上的安全距离。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6．2．2 易受高温辐射、液渣喷溅危害的建、构筑物，应有防护措施；所有高温作业场所，如炉前主工作平</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台、钢包冷热修区等，均应设置通风降温设施。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6．2．3 防火设施的设置，应遵守GBJ 16等消防法规、标准的规定；主控室、电气间、电缆隧道、可燃介质的液压站等易发生火灾的建、构筑物，应设自动火灾报警装置，车间应设置消防水系统与消防通道．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6．2．4 厂房内梯子应采用不大于45°的斜梯(特殊情况允许采用60°斜梯与直爬梯)，梯子设置应符合GB 4053．1、GB 4053．2的规定。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转炉、电炉、精炼炉、连铸主平台，两侧应设梯子。</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大、中型转炉，炉子跨宜设电梯。</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6．2．5 操作位置高度超过1．5 m的作业区，应设固定式或移动式平台；固定式钢平台应符合GB 4053．4的规定，平台负荷应满足工艺设计要求。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高于1．5 m的平台，宽于o．25 m的平台缝隙，深于1 m的敞口沟、坑、池，其周边应设置符合GB 4053．3规定的安全栏杆(特殊情况例外)，不能设置栏杆的，其上口应高出地坪0．3 m以上。</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平台、走廊、梯子应防滑。</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易受钢水与液渣喷溅的平台工作面，应采用铸铁板或钢板贴面混凝土块(耐火材料)铺设。</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6．2．6 转炉、电炉、精炼炉的炉下区域，应采取防止积水的措施，炉下漏钢坑应按防水要求设计施工，其内表应砌相应防护材料保护，且干燥后方可使用；炉下钢水罐车、渣罐车运行区域，地面应保持干燥；炉下热泼渣区，周围应设防护结构，其地坪应防止积水：炉渣冲击与挖掘机铲渣地点，应在耐热混凝土基础上铺砌厚铸铁板或采取其他措施保护。</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6．2．7 不允许渗水的坑、槽、沟，应按防水要求设计施工。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6．2．8 转炉和电炉主控室的布置，应注意在出现大喷事故时确保安全，并设置必要的防护设施；连铸主控室不应正对中间罐；转炉炉旁操作室应采取隔热防喷溅措施；电炉炉后出钢操作室，不应正对出钢方向开门，其窗户应采取防喷溅措施；所有控制室、电气室的门，均应向外开启；电炉与LF主控室，应按隔声要求设计；主控室应设置紧急出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6．2．9 炼钢炉、钢水与液渣运输线、钢水吊运通道与浇注区及其附近的地表与地下，不应设置水管(专用渗水管除外)、电缆等管线；如管线必须从上述区域经过，应采取可靠的保护措施。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6．2．10 易积水的坑、槽、沟，应有排水措施；所有与钢水、液渣接触的罐、槽、工具及其作业区域，不应有冰雪、积水，不应堆放潮湿物品和其他易燃、易爆物品。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6．2．11 车间电缆隧道应设火灾自动报警装置，并应根据需要设置自动灭火装置；长度超过7m的电缆隧道，应设置通风气楼。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6．2．12 密闭的深坑、池、沟，应考虑设置换气设施，以利维护人员进入。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6．2．13 废钢处理设施应有可靠的安全防护措施，落锤破碎间(场)应设封闭型防护结构，废钢爆破应采用泄压式爆破坑。</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6．2．14 车间紧急出入口、通道、走廊、楼梯等，应设应急照明，其设计应符合GB 50034的规定。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7 原材料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7．1 散状材料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7．1．1 应根据入炉散状材料的特性与安全要求，确定其贮存方法，入炉物料应保持干燥。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7．1．2 采用有轨运输时，轨道外侧距料堆应大于1．5m。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7．1．3 具有爆炸和自燃危险的物料，如CaC2粉剂、镁粉、煤粉、直接还原铁(DRI)等应贮存于密闭贮仓内，必要时用氮气保护，存放设施应按防爆要求设计，并禁火、禁水。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7．1．4 地下料仓的受料口，应设置格栅板。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 废钢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7．2．1 可能存在放射性危害的废钢，不应进厂。进厂的社会废钢，应进行分选，拣出有色金属件、易燃易爆及有毒等物品；对密闭容器应进行切割处理；废武器和弹药应由相关专业部门严格鉴定，并进行妥善的处置。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7．2．2 废钢应按来源、形态、成分等分类、分堆存放；人工堆料时，地面以上料堆高度不应超过1．5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7．2．3 炼钢厂一般应设废钢配料间与废钢堆场，废钢配料作业直接在废钢堆场进行的，废钢堆场应部分带有房盖，以供雨、雪天配料。混有冰雪与积水的废钢，不应人炉。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7．2．4 废钢配料间与废钢堆场，应设置必要的纵向与横向贯通的人行安全走道。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7．2．5 废钢坑沿应高出地面0．5～1．0m，露天废钢坑应设集排水设施，地面废钢料堆应距运输轨道外侧1．5 m以上。</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7．2．6 废钢配料间或废钢堆场进料火车线与横向废钢运输渡车线相交时，火车线入口应设允许进车的信号装置，当渡车在废钢区运行时，火车不应进入。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7．2．7 废钢装卸作业时，电磁盘或液压抓斗下不应有人，起重机的大车或小车启动、移动时，应发出蜂鸣或灯光警示讯号，以警告地面人员与相邻起重机避让；起重机司机室应视野良好，能清楚观察废钢装卸作业点与相邻起重机作业情况。</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 铁水贮运和预处理设施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7．3．1 铁水运输应用专线，不应与其他交通工具混行。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7．3．2 向混铁炉兑铁水时，铁水罐口至混铁炉受铁口(槽)，应保持一定距离；混铁炉不应超装，当铁水面距烧嘴达0．4 m时，不应兑入铁水；混铁炉出铁时，应发出声响讯号；混铁炉在维修或炉顶有人、或受铁水罐车未停到位时，不应倾动；当冷却水漏人混铁炉时，应待水蒸发完毕方可倾炉。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7．3．3 混铁车倒罐站倒罐时，应确保混铁车与受铁坑内铁水罐车准确对位；混铁车出铁至要求的量并倾回零位后，铁水罐车方可开往吊包工位。</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7．3．4 混铁炉与倒罐站作业区地坪及受铁坑内，不应有水。凡受铁水辐射热及喷溅影响的建、构筑物，均应采取防护措施。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7．3．5 起重机龙门钩挂重铁水罐时，应有专人检查是否挂牢，待核实后发出指令，吊车才能起吊；吊起的铁水罐在等待往转炉兑铁水期间，不应提前挂上倾翻铁水罐的小钩。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7．3．6 铁水预处理设施，应布置在地坪以上；若因条件限制采用坑式布置，则应采取防水、排水措施，保证坑内干燥。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7．3．7 往炼钢炉兑铁水时，铁水罐不应压在转炉炉口或电炉受铁槽上，人员应位于安全区域。</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7．3．8 铁水预处理粉料发送罐的设计、制造与使用，应严格执行压力容器有关规范的规定。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7．3．9 采用Ca C2与镁粉作脱硫剂时，其贮粉仓应采用氮气保护：泄压时排出的粉尘应回收；该区域应防水、防火。 Ca C2仓附近区域，应设乙炔检测和报警装置。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7．3．10 采用Na2 CO3系作脱硫粉剂时，应做好设备的防护，其粉尘中的Na2 CO3，应回收利用。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7．3．11 Ca C2与镁粉着火时，应采用干碾磨氮化物熔剂，石棉毡、干镁砂粉等灭火，不应使用水、四氯化碳、泡沫灭火器及河沙等灭火。</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8 炼钢相关设备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 铁水罐、钢水罐、中间罐、渣罐</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8．1．1 铁水罐、钢水罐、中间罐的壳体上，应有排气孔．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8．1．2 罐体耳轴，应位于罐体合成重心以上0．2～0．4 m的对称中心，其安全系数应不小于8，并以1．25倍负荷进行重负荷试验合格方可使用。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8．1．3 使用中的设备，耳轴部位应定期进行探伤检测。凡耳轴出现内裂纹、壳体焊缝开裂、明显变形、耳轴磨损大于直径的l0％、机械失灵、衬砖损坏超过规定，均应报修或报废．</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8．1．4 铁水罐、钢水罐和中间罐修砌后，应保持干燥，并烘烤至要求温度方可使用。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8．1．5 用于铁水预处理的铁水罐与用于炉外精炼的钢水罐，应经常维护罐口；罐口严重结壳，应停止使用。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8．1．6 钢水罐需卧放地坪时，应放在专用的钢包支座上；热修包应设作业防护屏；两罐位之间净空间距，应不小于2m。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8．1．7 渣罐使用前应进行检查，其罐内不应有水或潮湿的物料。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8．1．8 钢水罐滑动水口，每次使用前应进行清理、检查，并调试合格。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8．1．9 铁水罐、钢水罐内的自由空间高度(液面至罐口)，应满足工艺设计的要求。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8．1．10 铁水罐、钢水罐内的铁水、钢水有凝盖时，不应用其他铁水罐、钢水罐压凝盖，也不应人工使用管状物撞击凝盖。有未凝结残留物的铁水、钢水罐，不应卧放。</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8．1．11 吊运装有铁水、钢水、液渣的罐，应与邻近设备或建、构筑物保持大于1．5 m的净空距离。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8．2 铁水罐、钢水罐、中间罐烘烤器及其他烧嘴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8．2．， 烘烤器应装备完善的介质参数检测仪表与熄火检测仪。</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8．2．2 采用煤气燃料时，应设置煤气低压报警及与煤气低压讯号联锁的快速切断阀等防回火设施；应设置供设备维修时使用的吹扫煤气装置，煤气吹扫干净方可修理设备。 ．</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8．2．3 采用氧气助燃时，氧气不应在燃烧器出口前与燃料混合，并应在操作控制上确保先点火后供氧(空气助燃时亦应先点火后供风)。</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8．2．4 烘烤器区域应悬挂“禁止烟火”、“当心煤气中毒”等警示牌。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 地面车辆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8．3．1 车间内的有轨车辆，轨道面应与车间地坪一致。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8．3．2 车辆运行时，应发出红色闪光与轰鸣等警示信号。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8．3．3 电动铁水罐车、钢水罐车、渣罐车的停靠处，应设两个限位开关。</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8．3．4 铁水罐车、钢水罐车、渣罐车台面，应砌砖防护。应根据需要，在轨道端头设置事故滑轮。带有电子秤的钢水罐车．应对电子秤元件进行防护。</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8．3．5 进出车间的废钢料篮车与渣罐车，其运行轨道与车间外道路相交的道口，应设置交通指挥信号；运行距离较长时，车辆运行过程中应有专人监视；其他地面有轨车辆的运行，也应贯彻目视监控的原则。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8．3．6 所有车辆，均应以设计载荷通过重车运行试验合格，方可投入使用。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 起重设备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8．4．1 起重机械及工具，应遵守GB 6067的规定；炼钢厂用起重机械与工具，应有完整的技术证明文件和使用说明；桥式起重机等起重设备，应经有关主管部门检查验收合格，方可投入使用。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8．4．2 起重设备应经静、动负荷试验合格，方可使用，试验负荷等应按表1规定执行。桥式起重机等负荷试验，采用其额定负荷的1．25倍。</w:t>
      </w:r>
      <w:r w:rsidRPr="00C00027">
        <w:rPr>
          <w:rFonts w:ascii="微软雅黑" w:eastAsia="微软雅黑" w:hAnsi="微软雅黑" w:cs="宋体" w:hint="eastAsia"/>
          <w:color w:val="000000"/>
          <w:kern w:val="0"/>
          <w:sz w:val="15"/>
          <w:szCs w:val="15"/>
        </w:rPr>
        <w:br/>
        <w:t> </w:t>
      </w:r>
    </w:p>
    <w:p w:rsidR="00C00027" w:rsidRP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Pr>
          <w:rFonts w:ascii="微软雅黑" w:eastAsia="微软雅黑" w:hAnsi="微软雅黑" w:cs="宋体"/>
          <w:noProof/>
          <w:color w:val="000000"/>
          <w:kern w:val="0"/>
          <w:sz w:val="15"/>
          <w:szCs w:val="15"/>
        </w:rPr>
        <w:lastRenderedPageBreak/>
        <w:drawing>
          <wp:inline distT="0" distB="0" distL="0" distR="0">
            <wp:extent cx="4293235" cy="2760980"/>
            <wp:effectExtent l="19050" t="0" r="0" b="0"/>
            <wp:docPr id="2" name="图片 2" descr="表1 起重设备试验规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表1 起重设备试验规定"/>
                    <pic:cNvPicPr>
                      <a:picLocks noChangeAspect="1" noChangeArrowheads="1"/>
                    </pic:cNvPicPr>
                  </pic:nvPicPr>
                  <pic:blipFill>
                    <a:blip r:embed="rId12"/>
                    <a:srcRect/>
                    <a:stretch>
                      <a:fillRect/>
                    </a:stretch>
                  </pic:blipFill>
                  <pic:spPr bwMode="auto">
                    <a:xfrm>
                      <a:off x="0" y="0"/>
                      <a:ext cx="4293235" cy="2760980"/>
                    </a:xfrm>
                    <a:prstGeom prst="rect">
                      <a:avLst/>
                    </a:prstGeom>
                    <a:noFill/>
                    <a:ln w="9525">
                      <a:noFill/>
                      <a:miter lim="800000"/>
                      <a:headEnd/>
                      <a:tailEnd/>
                    </a:ln>
                  </pic:spPr>
                </pic:pic>
              </a:graphicData>
            </a:graphic>
          </wp:inline>
        </w:drawing>
      </w:r>
    </w:p>
    <w:p w:rsidR="00C00027"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r w:rsidRPr="00C00027">
        <w:rPr>
          <w:rFonts w:ascii="微软雅黑" w:eastAsia="微软雅黑" w:hAnsi="微软雅黑" w:cs="宋体" w:hint="eastAsia"/>
          <w:color w:val="000000"/>
          <w:kern w:val="0"/>
          <w:sz w:val="15"/>
          <w:szCs w:val="15"/>
        </w:rPr>
        <w:br/>
        <w:t>注：PH为设备的额定负荷。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8．4．3 铁水罐、钢水罐龙门钩的横粱、耳轴销和吊钩、钢丝绳及其端头固定零件，应定期进行检查，发现问题及时处理，必要时吊钩本体应作超声波探伤检查。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8．4．4 吊运重罐铁水、钢水或液渣，应使用带有固定龙门钩的铸造起重机，铸造起重机额定能力应符合YB 9058的规定；电炉车间吊运废钢料篮的加料吊车，应采用双制动系统。</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8．4．5 钢丝绳、链条等常用起重工具，其使用、维护与报废应遵守GB 6067的规定。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8．4．6 起重机应由经专门培训、考核合格的专职人员指挥，同一时刻只应一人指挥，指挥信号应遵守GB 508Z的规定。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吊运重罐铁水、钢水、液渣，应确认挂钩挂牢，方可通知起重机司机起吊；起吊时，人员应站在安全位置，并尽量远离起吊地点。</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8．4．7 起重机启动和移动时，应发出声响与灯光信号，吊物不应从人员头顶和重要设备上方越过：不应用吊物撞击其他物体或设备(脱模操作除外)；吊物上不应有人。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 外部运输设备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8．5．1 车间内部铁路线应为平道，且不应低于车间外铁路线轨道标高，铁路线弯曲半径与建筑接近限界应遵守YBJ 52的规定；门洞边缘距铁路中心线应不小于2．8m。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8．5．2 尽头铁路线末端，应设车挡与车挡指示器。室内车挡后6 m、露天车挡后15 m范围内，不应设置建筑物与设备。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铁路线轨道外侧1．5 m以内，不应堆放任何物品。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8．5．3 无关人员不应乘坐锭坯车、铁水罐车、钢水罐车、渣罐车或运渣车、废钢料篮车及其他料车，运输炽热物体的车辆，不应在煤气、氧气管道下方停留。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8．5．4 进出炼钢生产厂房的铁路出入口或道口，应根据GB 6389的要求设置声光信号报警装置。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8．5．5 应根据炼钢厂的特种车辆(如自抱罐汽车、料篮车、运坯车等)的特殊要求设计道路路面，并设立明显标志；特种车辆道路应尽可能与普通车辆道路分开。</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8．5．6 炼钢厂内的道路，应按GB 5786的规定设立交通标志。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8．5．7 道路建筑限界应符合GBJ 22的规定，跨越道路上方的管线，距路面净高应不小于5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8．5．8 载运炽热物体应使用专用的柴油车，其油箱应采取隔热措施。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8．5．9 采用带式运输机运输，应遵守GBl4784的规定。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8．5．10 带式运输机的通廊应设走道，设单侧走道其宽度应不小于1 m，设两侧走道其宽度应不小于0．8 m，并应在两侧走道间适当设置过桥；倾斜通廊的倾角大于6度时，走道应采取防滑措施；大于12度时，走道应采用踏步。走道沿线应设置可随时停车的停车绳。</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8．5．11 维修带式输送机，应事先通知控制室操作人员，将带式输送机的控制权转到就地操作箱．</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 其他设备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8．6．1 高温工作的水冷件，应提供事故用水。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8．6．2 易受高温或钢水、液渣喷溅影响的设备，应进行防护。</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8．6．3 人员接近有可能导致人身伤害事故的设备外露运动部件，应设置防护罩。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 4 涉及人身与设备安全或工艺要求的相关设备之间或单一设备内部的动作程序，应设置程序联锁，前一程序未完成，后一程序不能启动，无论手动还是自动操作都应遵守程序联锁，但单体试运转时可以切除联锁．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8．6．5 压力容器的设计、制造、验收与使用，应遵守压力容器有关规范的规定。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9 氧气转炉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 设备与相关设施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9．1．1 150t以下的转炉，最大出钢量应不超过公称容量的120％;200t以上的转炉，按定量法操作。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9．1．2 转炉的炉容比应合理。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9．1．3 转炉氧枪与副枪升降装置，应配备钢绳张力测定、钢绳断裂防坠、事故驱动等安全装置；各枪位停靠点，应与转炉倾动、氧气开闭、冷却水流量和温度等联锁；当氧气压力小于规定值、冷却水流量低于规定值、出水温度超过规定值、进出水流量差大于规定值时，氧枪应自动升起，停止吹氧。转炉氧枪供水，应设置电动或气动快速切断阀。</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9．1．4 氧气阀门站至氧气软管接头的氧气管，应采用不锈钢管，并应在软管接头前设置长1．5 m以上的铜管。氧气软管应采用不锈钢体，氧气软管接头应有防脱落装置。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9．1．5 转炉宜采用铸铁盘管水冷炉口；若采用钢板焊接水箱形式的水冷炉口，应加强经常性检查，以防止焊缝漏水酿成爆炸事故。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9．1．6 转炉传动机构应有足够的强度，应能承受正常操作最大合成力矩；不大于150 t的转炉，按全正力矩设计，靠自重回复零位150t以上的转炉，可采用正负力矩，但必须确保两路供电；若采用直流电机，可考虑设置备用蓄电池组，以便断电时强制低速复位。</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9．1．7 从转炉工作平台至上层平台之间，应设置转炉围护结构。炉前后应设活动挡火门，以保护操作人员安全。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9．1．8 烟道上的氧枪孔与加料口，应设可靠的氮封。转炉炉子跨炉口以上的各层平台，宜设煤气检测与报警装置，上述各层平台，人员不应长时间停留，以防煤气中毒；确需长时间停留，应与有关方面协调，并采取可靠的安全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9．1．9 采用“未燃法”或“半燃法”烟气净化系统设计的转炉，应符合GM 622Z的规定；转炉煤气回收系统的设备、风机房、煤气柜以及可能泄漏煤气的其他设备，应位于车间常年最小频率风向的上风侧。转煤气回收时，风机房属乙类生产厂房、二级危险场所，其设计应采取防火、防爆措施，配备消防设备、火警信号、通讯及通风设施；风机房正常通风换气每小时应不少于7次，事故通风换气每小时应不少于20次。</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9．1．10 转炉煤气回收，应设一氧化碳和氧含量连续测定和自动控制系统；回收煤气的氧含量不应超过2％；煤气的回收与放散，应采用自动切换阀，若煤气不能回收而向大气排放，烟囱上部应设点火装置。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9．1．11 转炉煤气回收系统，应合理设置泄爆、放散、吹扫等设施。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9．1．.2 转炉余热锅炉与汽化冷却装置的设计、安装、运行和维护，应遵守国家有关锅炉压力容器的规定。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 生产操作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9．2．1 炉前、炉后平台不应堆放障碍物。转炉炉帽、炉壳、溜渣板和炉下挡渣板、基础墙上的粘渣，应经常清理，确保其厚度不超过0．1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9．2．2 废钢配料，应防止带入爆炸物、有毒物或密闭容器。废钢料高不应超过料槽上口。转炉留渣操作时，应采取措施防止喷渣。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9．2．3 兑铁水用的起重机，吊运重罐铁水之前应验证制动器是否可靠；不应在兑铁水作业开始之前先挂上倾翻铁水罐的小钩；兑铁水时炉口不应上倾，人员应处于安全位置，以防铁水罐脱钩伤人。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9．2．4 新炉、停炉进行维修后开炉及停吹8 h后的转炉，开始生产前均应按新炉开炉的要求进行准备，应认真检验各系统设备与联锁装置、仪表、介质参数是否符合工作要求，出现异常应及时处理。若需烘炉，应严格执行烘炉操作规程。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9．2．5 炉下钢水罐车及渣车轨道区域(包括漏钢坑)，不应有水和堆积物。转炉生产期间需到炉下区域作业时，应通知转炉控制室停止吹炼，并不得倾动转炉。无关人员不应在炉下通行或停留．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9．2．6 转炉吹氧期间发生以下情况，应及时提枪停吹：氧枪冷却水流量、氧压低于规定值，出水温度高于规定值，氧枪漏水，水冷炉口、烟罩和加料溜槽口等水冷件漏水，停电。</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9．2．7 吹炼期间发现冷却水漏人炉内，应立即停吹，并切断漏水件的水源；转炉应停在原始位置不动，待确认漏入的冷却水完全蒸发，方可动炉。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9．2．8 转炉修炉停炉时，各传动系统应断电，氧气、煤气、氮气管道应堵盲板隔离，煤气、重油管道应用蒸汽(或氮气)吹扫；更换吹氧管时，应预先检查氧气管道，如有油污，应清洗并脱脂干净方可使用。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9．2．9 安装转炉小炉底时，接缝处泥料应铺垫均匀，炉底车顶紧力应足够，均匀挤出接缝处泥料；应认真检查接缝质量是否可靠，否则应予处理。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9．2．10 倾动转炉时，操作人员应检查确认各相关系统与设备无误，并遵守下列规定：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——测温取样倒炉时，不应快速摇炉；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——倾动机械出现故障时，不应强行摇炉。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9．2．11 倒炉测温取样和出钢时，人员应避免正对炉口；采用氧气烧出钢口时，手不应握在胶管接口处。</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9．2．12 火源不应接近氧气阀门站。进入氧气阀门站不应穿钉鞋。油污或其他易燃物不应接触氧气阀及管道。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9．2．13 有窒息性气体的底吹阀门站，应加强检查，发现泄漏及时处理。进入阀门站应预先打开门窗与排风扇，确认安全后方可人内，维修设备时应始终打开门窗与排风扇。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10 电炉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 设备与相关设施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 电炉的最大出钢量，应不超过平均出钢量的120％。</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 2 30 t及其以上的电炉，均应采用高架式布置，并采用钢水罐车出钢。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10．1．3 电炉倾动机械应设零位锁定，电极升降应有上限位锁定；电炉炉盖升降与旋转、电极升降与旋转、炉子倾动等动作的机械之间，应设有可靠的安全联锁；电炉液压站，应在断电事故情况下仍能完成一次出钢动作．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10．1．4 根据GBJ 16的规定，额定容量大于或等于40MVA的电炉变压器室，应设置CO2等气体自动灭火系统。</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10．1．5 氧气阀门站至氧燃烧嘴和碳氧喷枪的氧气管线，应采用不锈钢制作，并应在软管接头前焊接长1．5 m以上的铜管；氧气阀门站应遵守本规程9．2．12的规定。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10．1．6 设在密闭室内的氮、氩炉底搅拌阀站，应加强维护，发现泄漏及时处理；并应配备排风设施，人员进入前应排风，确认安全后方可入内，维修设备时应始终开启门窗与排风设施．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10．1．7 采用煤气烧嘴时，应设置煤气低压报警及与之联锁的快速切断阀等防回火设施，还应设置煤气吹扫与放散设施。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10．1．8 水冷炉壁与炉盖的水冷板、Consteel炉连接小车水套、竖井水冷件等，应配置出水温度与进出水流量差检测、报警装置。出水温度超过规定值、进出水流量差报警时，应自动断电并升起电极停止冶炼，操作人员应迅速查明原因，排除故障，然后恢复供电。</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10．1．9 竖炉、Plus2000炉、Consteel炉的废钢预热段废气出口，以及Korfarc炉炉盖弯管出口，应设置废气成分连续分析系统；废气中的氧与一氧化碳超过规定值，燃烧室中的点火烧嘴便应工作，并供入适量空气，使排出废气继续完全燃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10．1．10 电炉直接排烟除尘系统的设计，应遵守GB 6222和GB 9078的规定，系统中应有泄爆措施。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10．1．11 竖炉的竖井移动与停留区域下方空间，不应设置阀站等有火灾危险的建筑物，不应有电缆架或易燃管线穿越，否则应采取可靠的防护措施。Plus2000炉废钢预热的预热料篮旋转区域下方空间，不应有任何易燃物；料篮旋转时，人员应处于安全位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10．1．12 Consteel炉废钢传送带，两侧应设置宽度不小于0．9 m的安全走道。传送带支架下方，不应有人员通行；若有道路通过，应采取可靠的防护措施。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10．1．13 电炉供电设施及其各部位的绝缘电阻，应符合有关电气规程、规范的规定；炉壳与电极、炉盖升降装置，应可靠接地。供电设施附近，不应有易造成短路的材料与物件。</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10．1．14 炉后出钢操作室(或操作台)应设在较安全的位置，其正对出钢口的窗户应有防喷溅设施。操作室出入口应设在远离出钢口一侧。炉下钢水罐车运行控制应与电炉出钢倾动控制组合在一个操作台上，以便协调操作。电炉出钢倾动应与炉下钢水罐车的停靠位置及电子秤联锁，出钢水量达到规定值，电炉回倾到适当位置后，钢水罐车方可从出钢工位开出，以保证出钢作业安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10．1．15 偏心炉底出钢口活动维修平台，只有在电炉出钢完毕回复原始位置，方可开向工作位置。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10．1．16 炉前喷粉设施与电炉热喷补机的发送罐，其设计、制造、验收与使用，应符合压力容器规范的规定。 1</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10．1．17 直流电弧炉水冷钢棒式底电极，应有温度检测，应采用喷淋冷却方式，避免采用有压排水方式。炉底冷却水管，应悬挂设置，不应采用落地管线，以防漏钢时酿成爆炸事故。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10．1．18 应在电炉炉下不同厚度的耐火材料中设置温度测量元件，当某特定测量点温度超过规定值时，应立即停止冶炼，修理炉底。</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10．1．19 电炉炉顶维护平台应设安全门，人员进入时，安全门开启，电极电流断开，电炉不会倾动，炉盖不会旋转。</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10．1．20 采用铁水热装工艺的电炉，应能正确控制兑铁水小车的停车位和铁水罐倾动的速度与位置，防止造成跑铁事故。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10．1．21 采用炉前热泼渣工艺的电炉，热泼渣区域周围的建、构筑物与地坪、上方的管线或电缆，应有可靠的防护措施，并应采取措施防止因作业区内积水酿成爆炸事故。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10．1．22 采用活动炉座的电炉，应由一台吊车吊运；因条件限制只能用两台吊车抬运时，应采取措施，保证作业安全。电炉的修炉区，应设置炉壳底座(或支架)、修炉坑或修炉平台。</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10．1．23 电极连接站，应设置可靠的防护设施，以防红热电极灼伤人员或损坏周围设施。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 生产操作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10．2．1 电炉开炉前应认真检查，确保各机械设备及联锁装置处于正常的待机状态，各种介质处于设计要求的参数范围，各水冷元件供排水无异常现象，供电系统与电控正常，工作平台整洁有序无杂物。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10．2．2 电极通电应建立联系确认制度，先发信号，然后送电；引弧应采用自动控制，防止短路送电．</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10．2．3 竖炉第一料篮下部的废钢，单块重量应不大于400 kg；待加料的废钢料篮吊往电炉之前，不应挂小钩，废钢料篮下不应有人。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10．2．4 电炉吹氧喷碳粉作业，应加强监控。当泡沫渣升至规定高度时，应停止喷碳粉。水冷氧枪应设置极限位，以确保氧枪与钢液面的安全距离。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10．2．5 氧燃烧嘴开启时应先供燃料，点火后再供氧；关闭时应先停止供氧，再停止供燃料。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10．2．6 炉前热泼渣操作，应防止洒水过多，以避免积水产生事故。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10．2．7 电炉通电冶炼或出钢期间，人员应处于安全位置，不应登上炉顶维护平台，不应在短网下和炉下区域通行。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10．2．8 电炉冶炼期间发生冷却水漏入熔池时，应断电、升起电极，停止冶炼、炉底搅拌和吹氧．关闭烧嘴，并立即处理漏水的水冷件，不应动炉。直至漏入炉内的水蒸发完毕，方可恢复冶炼。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10．2．9 正常生产过程中，应经常清除炉前平台流渣口和出钢区周围构筑物上的粘结物。粘结物厚度应不超过0．1 m，以防坠落伤人。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10．2．10 电炉炉下区域、炉下出钢线与渣线地面，应保持干燥，不应有水或潮湿物。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10．2．11 电炉加料(包括铁水热装和吊铁水罐)、吊运炉底、吊运电极，应有专人指挥。吊物不应从人员和设备上方越过，人员应处于安全位置。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10．2．12 维修炉底出钢口的作业人员与电炉主控人员之间，应建立联系与确认制度。</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11 炉外精炼</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 设备与相关设施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11．1．1 精炼炉的最大钢水量，应能满足不同炉外精炼对钢液面以上钢包自由空间的要求。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11．1．2 钢水炉外精炼装置，应有事故漏钢措施．VD、VOD等钢包真空精炼装置，其蒸汽喷射真空泵系统应有抑制钢液溢出</w:t>
      </w:r>
      <w:r w:rsidRPr="00C00027">
        <w:rPr>
          <w:rFonts w:ascii="微软雅黑" w:eastAsia="微软雅黑" w:hAnsi="微软雅黑" w:cs="宋体" w:hint="eastAsia"/>
          <w:color w:val="000000"/>
          <w:kern w:val="0"/>
          <w:sz w:val="15"/>
          <w:szCs w:val="15"/>
        </w:rPr>
        <w:lastRenderedPageBreak/>
        <w:t>钢包的真空度调节措施，并应设彩色工业电视，监视真空罐内钢液面的升降。</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11．1．3 VOD、CAS-OB，RH—KTB等水冷氧枪升降机械，应有事故驱动等安全措施；氧气阀站至氧枪的氧气管道，应采用不锈钢管，且应在软管接头前设置长度超过1．5 m的铜管。</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11．1．4 受钢液高温影响的水冷元件，应设可靠的断电供水设施，确保在断电期间保护设备免遭损坏；可能因冷却水泄漏酿成爆炸事故的水拎元件，如VOD、CAS-OB、IR—UT、RH-KTB中的水冷氧枪，应配备进出水流量差报警装置，报警信号发出后，氧枪应自动提升并停止供氧，停止精炼作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11．1．5 VOD与RH—KTB等真空吹氧脱碳精炼装置、蒸汽喷射真空泵的水封池应密闭，并设风机与排气管，排气管应高出厂房2～4m。所在区域应设置“警惕煤气中毒”、“不准停留”等警示牌。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11．1．6 LF与RH电加热的供电设施，应遵循有关电气规程、规范，设备与线路的绝缘电阻应达到规定值，电极与炉盖提升机械应有可靠接地装置；若RH与RH—KTB采用石墨电阻棒加热真空罐，真空罐应有可靠接地装置。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11．1．7 RH装置的钢水罐或真空罐升降液压系统，应设手动换向阀装置。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11．1．8 真空精炼装置，用氮气破坏真空时，应设大气压平衡阀及恢复大气压信号。信号应与真空罐盖开启、RH吸嘴抽出钢液的动作联锁，当真空罐内外存在压差时，不应开启真空罐盖或抽出RH吸嘴；VOD与RH—KTB破坏真空系统，应有氮气稀释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11．1．9 蒸汽喷射真空泵的喷射器，应包裹隔声层，废气排出口与蒸汽放散口应设消声器。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11．1．10 炉外精炼装置中的粉料发送罐、贮气罐、蒸汽分配器、汽水分离器、蓄势器等有压容器，其设计、制造、验收和使用，应符合国家有关压力的规定。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 生产操作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 精炼炉工作之前，应认真检查，确保设备处于良好待机状态、各介质参数符合要求。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11．2．2 应控制炼钢炉出钢量，防止炉外精炼时发生溢钢事故。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11．2．3 应做好精炼钢包上口的维护，防止包口粘结物过多。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11．2．4 氧气底吹搅拌装置应根据工艺要求调节搅拌强度，防止溢钢。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11．2．5 炉外精炼区域与钢水罐运行区域，地坪不得有水或潮湿物品。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11．2．6 精炼过程中发生漏水事故，应立即终止精炼，若冷却水漏人钢包，应立即切断漏水件的水源，钢包应静止不动，人员撤离危险区域，待钢液面上的水蒸发完毕方可动包。</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11．2．7 精炼期间，人员不得在钢包周围行走和停留。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11．2．8 RH或RH-KTB新的或修补后的插入管，应经烘烤干燥方可使用；VD、VOD、RH或RH-KTB真空罐新砌耐火材料</w:t>
      </w:r>
      <w:r w:rsidRPr="00C00027">
        <w:rPr>
          <w:rFonts w:ascii="微软雅黑" w:eastAsia="微软雅黑" w:hAnsi="微软雅黑" w:cs="宋体" w:hint="eastAsia"/>
          <w:color w:val="000000"/>
          <w:kern w:val="0"/>
          <w:sz w:val="15"/>
          <w:szCs w:val="15"/>
        </w:rPr>
        <w:lastRenderedPageBreak/>
        <w:t>以及喷粉用喷枪，应予干燥。在VD、VOD真空罐内清渣或修理衬砖，应采取临时通风措施，以防缺氧。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11．2．9 LF通电精炼时，人员不应在短网下通行，工作平台上的操作人员不应触摸钢包盖及以上设备，也不应触碰导电体。人工测温取样时应断电。RH，RH-KTB采用石墨棒电阻加热真空罐期间，人员不应进入真空罐平台。</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11．2．10 RH、RH-KTB的插入管与CAS-OB、IR-UT的浸渍罩下方，不应有人员通行与停留；精炼期间，人员应处于安全位置。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11．2．11 AOD的配气站，应加强检查，发现泄漏及时处理。人员进入配气站应预先开启门窗与通风设备施，确认安全后方可人内，维修时应始终开启门窗与通风设施。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11．2．12 吊运满包钢水或红热电极，应有专人指挥；吊放钢包应检查确认挂钩，脱钩可靠，方可通知司机起吊。</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11．2．13 潮湿材料不应加入精炼钢包；人工往精炼钢包投加合金与粉料时，应防止液渣飞溅或火焰外喷伤人。精炼炉周围不应堆放易燃物品。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11．2．14 喷粉管道发生堵塞时，应立即关闭下料阀，并在保持引喷气流的情况下，逐段敲击管道，以消除堵塞；若需拆检，应先将系统泄压。</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11．2．15 喂丝线卷放置区，宜设置安全护栏；从线卷至喂丝机，凡线转向运动处，应设置必要的安全导向结构，确保喂丝工作时人员安全；向钢水喂丝时，线卷周围5 m以内不应有人．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b/>
          <w:bCs/>
          <w:color w:val="800080"/>
          <w:kern w:val="0"/>
          <w:sz w:val="15"/>
        </w:rPr>
        <w:t>12 钢水浇注</w:t>
      </w:r>
      <w:r w:rsidRPr="00C00027">
        <w:rPr>
          <w:rFonts w:ascii="微软雅黑" w:eastAsia="微软雅黑" w:hAnsi="微软雅黑" w:cs="宋体" w:hint="eastAsia"/>
          <w:b/>
          <w:bCs/>
          <w:color w:val="800080"/>
          <w:kern w:val="0"/>
          <w:sz w:val="15"/>
          <w:szCs w:val="15"/>
        </w:rPr>
        <w:br/>
      </w:r>
      <w:r w:rsidRPr="00C00027">
        <w:rPr>
          <w:rFonts w:ascii="微软雅黑" w:eastAsia="微软雅黑" w:hAnsi="微软雅黑" w:cs="宋体" w:hint="eastAsia"/>
          <w:color w:val="000000"/>
          <w:kern w:val="0"/>
          <w:sz w:val="15"/>
          <w:szCs w:val="15"/>
        </w:rPr>
        <w:br/>
        <w:t>12．1 钢包准备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12．1．1 钢包浇注后，应进行检查，发现异常，应及时处理或按规定报修、报废。</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12．1．2 新砌或维修后的钢包，应经烘烤干燥方可使用。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12．1．3 浇注后倒渣应注意安全，人员应处于安全位置，倒渣区地面不得有水或潮湿物品，其周围应设防护板。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12．1．4 热修包时，包底及包口粘结物应清理干净，更换氨气底塞砖与滑动水口滑板，应正确安装，并检查确认。</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12．1．5 新装滑动水口或更换滑板后，应经试验确认动作可靠方可交付使用；采用气力弹簧的滑板机构，应定期校验，及时调整其作用力。</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12．1．6 滑动水口引流砂应干燥。</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 模铸</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12．2．1 新建，改建或扩建炼钢工程，必须采用部分模铸时，应采用小车铸系统，不应采用地面浇注或坑铸系统(不包括铸钢车间)。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12．2．2 铸锭平台的长度，除满足工艺要求外，还应留有一定的余量；其高度应低于有帽钢锭模的帽口和无帽钢锭模的模口，宽度应不小于3m。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12．2．3 铸锭车外边缘与钢水罐车外边缘的距离，应不小于1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12．2．4 靠车间外侧纵向布置的铸锭平台，应在平台外设安全平台，其宽度应不大于0．9 m；两种平台之间有隔墙时，平台之间通道门的间距应不小于36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12．2．5 浇注时应遵守下列规定：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浇注前应详细检查滑动水口及液压油路系统；往罐上安装油缸时，不应对着传动架调整活塞杆长度，遇有滑板压不动时，确认安全之后方可在铸台松动滑动水口顶丝；油缸、油带漏油，不应继续使用；机械封顶用的压盖和凹型窝内，不应有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——开浇和烧氧时应预防钢水喷溅，水口烧开后，应迅速关闭氧气；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——浇注钢锭时，钢水罐不应在中心注管或钢锭模上方下落；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——使用凉铸模浇注或进行软钢浇注时，应时刻提防钢水喷溅伤人；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——出现钢锭模或中注管漏钢时，不应浇水或用湿砖堵钢；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 ——正在浇注时，不应往钢水包内投料调温；</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——指挥摆罐的手势应明确；大罐最低部位应高于漏斗砖0．15m；浇注中移罐时，操作者应走在钢水罐后面；</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——不应在有红锭的钢锭模沿上站立、行走和进行其他操作；</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——取样工具应干燥，人员站位应适当，样模钢水未凝固不应取样。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12．2．6 整模应遵守下列规定，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——应经常检查钢锭模、底盘、中心注管和保温帽，发现破损和裂纹，应按报废标准报废，或修复达标后使用；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——安放模子及其他物体时，应等起重机停稳、物体下落到离工作面不大于0．3 m，方可上前校正物体位置和放下物体；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——钢锭模应冷却至200℃左右，方可处理；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——列模、列帽应放置整齐，并检查确认无脱缝现象。</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 连铸</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 确定铸机弯曲半径、拉速、冷却水等参数时，应确保铸坯凝固长度小于冶金长度。</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12．3．2 大包回转台的支承臂、立柱、地脚螺栓设计，应进行强度计算，计算中应考虑满包负荷冲击系数(1．5～2)。</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大包回转台旋转时，包括钢包的运动设备与固定构筑物的净距，应大于0．5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大包回转台应配置安全制动与停电事故驱动装置。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12．3．3 连铸浇注区，应设事故钢水包、溢流槽、中间溢流罐。</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12．3．4 对大包回转台传动机械、中间罐车传动机械、大包浇注平台，以及易受漏钢损伤的设备和构筑物，应采取防护措施。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12．3．5 结晶器、二次喷淋冷却装置，应配备事故供水系统；一旦正常供水中断，即发出警报，停止浇注，事故供水系统启动，并在规定的时间内保证铸机的安全；应定期检查事故供水系统的可靠性。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12．3．6 高压油泵发生故障或发生停电事故时，液压系统蓄势器应能维持拉矫机压下辊继续夹持钢坯30～40min，并停止浇注，以保证人身和设备安全。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12．3．7 采用放射源控制结晶器液面时，放射源的装、卸、运输和存放，应使用专用工具，应建立严格的管理和检测制度；放射源只能在调试或浇注时打开，其他时间均应关闭；放射源启闭应有检查确认制度与标志，打开时人员应避开其辐射方向，其存放箱与存放地点应设置警告标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12．3．8 连铸主平台以下各层，不应设置油罐、气瓶等易燃、易爆品仓库或存放点，连铸平台上漏钢事故波及的区域，不应有水与潮湿物品。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12．3．9 浇注之前，应检查确认设备处于良好待机状态，各介质参数符合要求；应仔细检查结晶器，其内表面应干净并干燥，引锭杆头送入结晶器时，正面不应有人，应仔细填塞引锭头与结晶器壁的缝隙，按规定放置冷却废钢等物料。浇注准备工作完毕，拉矫机正面不应有人，以防引锭杆滑下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12．3．10 新结晶器和检修后的结晶器，应进行水压试验，合格的结晶器在安装前应暂时封堵进出水口。使用中的结晶器及其上口有渗水现象，不应浇注。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12．3．11 钢包或中间罐滑动水口开启时，滑动水口正面不应有人，以防滑板窜钢伤人。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12．3．12 浇注中发生漏、溢钢事故，应关闭该铸流。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12．3．13 输出尾坯时(注水封顶操作)，人员不应面对结晶器。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12．3．14 浇注时应遵守下列规定：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——二次冷却区不应有人；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——出现结晶器冷却水减少报警时，应立即停止浇注；</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——浇注完毕，待结晶器内钢液面凝固，方可拉下铸坯；</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——大包回转台(旋转台)回转过程中，旋转区域内不应有人．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12．3．15 引锭杆脱坯时，应有专人监护，确认坯已脱离方可离开。</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12．3．16 采用煤气、乙炔和氧气切割铸坯时，应安装煤气、乙炔和氧气的快速切断阀，在氧气、乙炔和煤气阀站附近，不应吸烟和有明火，并应配备灭火器材。</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12．3．17 切割机应专人操作。未经同意，非工作人员不应进入切割机控制室．切割机开动时，机上不应有人。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12．4 钢锭(坯)处理</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12．4．1 钢锭(坯)堆放高度，应符合下列规定：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大于3 t的钢锭 不大于3．5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0．5～3 t的钢锭 不大于2．5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小于0．5 t的钢锭 不大于1．9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人工吊挂钢锭 不大于1．9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长度6 m及以上的连铸坯 不大于4m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长度6～3m的连铸坯 不大于3m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长度3 m以下的连铸坯 不大于2．5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12．4．2 钢锭退火时应放置平稳，确认退火窑内无人方可推车。</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12．4．3 修磨钢锭(坯)时，应戴好防护用具，严格按操作规程进行．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12．4．4 钢锭(坯)库内人行道宽度应不小于1 ms锭(坯)垛间距应不小于0．6 m；进入锭(坯)垛间应带小红旗，小红旗应高出钢锭(坯)垛。</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13 动力供应与管线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 供电与电气设备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13．7．1 炼钢厂供电应有两路独立的高压电源，当一路电源发生故障或检修时，另一路电源应能保证车间正常生产用电负荷。</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13．1．2 计算机应设置不同断电源(UPS)。</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13．1．3 产生大量蒸汽、腐蚀性气体、粉尘等的场所，应采用密闭电气设备；有爆炸危险气体或粉尘的工作场所，应采用防爆型电气设备。</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13．1．4 转炉倾动设备应设有可靠的事故断电紧急开关；氧枪、副枪驱动，应设有事故电源(直流驱动采用蓄电池，交流驱动采用UPS电源)，供事故断电时，将氧枪、副枪提出炉口。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13．1．5 设在车间内部的变压器室，应设置100％变压器油量的储油设施。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13．1．6 炼钢车间．应根据工艺设备布置，适当配置安全灯插座：行灯电压不应超过36 V; 在潮湿地点和金属容器内使用的行灯，其电压不应超过12 V。</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13．1．7 工作场所的照明，应遵守GB 50034的规定。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13．1．9 电炉和LF精炼炉，其变压器室外墙短网开孔和支撑变压器母线排的主变压器墙，应采取防电磁感应发热的措施。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13．1．9 电缆不应架设在热力与燃气管道上，应远离高温、火源与液渣喷溅区；必须通过或邻近这些区域时，应采取可靠的防护措施；电缆不得与其他管线共沟敷设。</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13．1．10 车间变电所与有火灾、爆炸危险或产生大量有毒气体、粉尘的设施之间，应有足够的安全距离。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 动力管线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13．2．1 车间内务类燃气管线，应架空敷设，并应在车间入口设总管切断阀；车间内架空燃气管道与其他架空管线的最小净距，应符合有关规定的要求。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13．2．2 油管道和氧气管道不应敷设在同一支架上，且不应敷设在煤气管道的同一侧。</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13．2．3 氧气、乙炔、煤气、燃油管道及其支架上，不应架设动力电缆、电线，供自身专用者除外。</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13．2．4 氧气、乙炔、煤气、燃油管道，应架设在非燃烧体支架上；当沿建筑物的外墙或屋顶敷设时，该建筑物应为无爆炸危险的一、二级耐火等级厂房。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 2. 5 氧气、乙炔、煤气、燃油管道，架空有困难时，可与其他非燃烧气体、液体管道共同敷设在用非燃烧体作盖板的不通行的地沟内；也可与使用目的相同的可燃气体管道同沟敷设，但沟内应填满砂，并不应与其他地沟相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氧气与燃油管道不应共沟放敷设；油脂及易燃物不应漏入地沟内。其他用途的管道横穿地沟时，其穿过地沟部分应套以密闭的套管，且套管伸出地沟两壁的长度各约0．2m．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13．2．6 煤气、乙炔等可燃气体管线，应设吹扫用的蒸汽或氮气吹扫接头；吹扫管线应防止气体串通。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13．2．7 各类动力介质管线，均应按规定进行强度试验及气密性试验。</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13．2．8 氧气、乙炔、煤气、燃油管道，应有良好的导除静电装置，管道接地电阻应不大于10?，每对法兰间总电阻应小于0．03 ?，所有法兰盘连接处应装设导电跨接线。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氧气管道每隔90～100 m应进行防静电接地，进车间的分支法兰也应接地，接地电阻应不大于10 ?n。</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13．2．9 氧气、乙炔管道靠近热源敷设时，应采取隔热措施，使管壁温度不超过70℃。</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13．2．10 不同介质的管线，应涂以不同的颜色，并注明介质名称和输送方向；各种气体、液体管道的识别色，应符合GB 7231的规定。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13．2．11 阀门应设功能标志，并设专人管理，定期检查维修。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 给排水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13．3．1 生产线消防给水，应采用环状管网供水；环状或双线给水管道，应保证更换管道和闸阀时不影响连续供水．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13．3．2 最低温度在－5℃以下的地区，间断用水的部件应采取防冻措施。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13．3．3 供水系统应设两路独立电源供电，供水泵应设置备用水泵。</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13．3．4 安全供水水塔(或高位水池)，应设置水位显示和报警装置；应使塔内存水保持流动状态，并应定期放水清扫水塔。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13．3．5 采用喷嘴喷淋水的给水管，应装设管道过滤器，避免较大粒径悬浮物带人喷水管。</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 氧气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13．4．1 氧气管网的设计、作业和检修，应符合GB 50030、GBl6912的规定；从事氧气管道检修、维护和操作的人员，应通过有关安全技术培训，并经考核合格方可上岗。</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13．4．2 炼钢车间管道中氧气最高流速：碳钢管不大于15 m／s：不锈钢管不大于25 m／s。</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13．4．3 新敷设的氧气管道，应脱脂、除锈和钝化；氧气管道在检修和长期停用之后再次使用，应预先用无油压缩空气或氮气彻底吹扫。</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13．4．4 氧气管道的阀门，应选用专用阀门；工作压力大于0．1 MPa时，不应选用闸阀。</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13．4．5 氧气管道和氧气瓶冻结时，可采用热水或蒸汽解冻，不应采用火烤、锤击解冻。</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13．5 乙炔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13．5．1 乙炔站应符合GB 50031的要求：其电气设备的选用、安装，应符合甲类生产车间厂房的要求。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13．5．2 乙炔工作压力为0．02～0．15 MPa时，管中最大流速不得超过9 m／s。</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13．5．3 乙炔管道的选用，应遵守下列规定：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——压力为0．02～0．15 MPa的中压管道，应采用无缝钢管，且管内径不大于90mm；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——内径大于50 mm的中压管道，不应使用盲板或死端头，也不应采用闸阀。</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br/>
        <w:t>13．5．4 使用乙炔氧气点火枪应远离电气柜，点火枪附近不应有易燃、易爆物品。</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13．5．5 车间内乙炔管道进口，应设中央回火防止器；每个使用管头应设岗位回火防止器。室内管道，应每隔25m接地一次。</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 燃油管道及煤气管道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13．6．1 燃油管道是否采取伴热和保温措施，应根据油品种类、粘度一温度特性曲线及当地气温情况来确定．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13．6．2 燃油管道施工完毕，应进行强度试验和严密性试验；一般采用液压试验，试验要求应符合GB 50235的规定。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13．6．3 煤气进入车间前的管道，应装设可靠的隔断装置。</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在管道隔断装置前、管道的最高处及管道的末端，应设置放散管；放散管口应高出煤气管道、设备和走台4m，且应引出厂房外。</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13．6．4 车间煤气管道的强度试验和严密性试验，应符合GB 6222的要求。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13．6．5 炼钢车间煤气间断用户，不宜使用高炉煤气或转炉煤气。</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14 炉渣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14．1 采用抱罐汽车运输液体渣罐时，罐内液渣不应装满，应留0．3 m以上的空间，抱罐汽车司机室顶部与背面应加设防护装置；抱罐汽车运行线路宜设专线，避免与其他车辆混杂运行，并尽可能减少相交道口。</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14．2 盛液渣的渣罐应加强检查，其内不应有水、积雪或其他潮湿物料。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14．3 中间渣场吊运液体渣罐，应采用铸造起重机。中间渣场采用渣罐热泼液渣工艺时，应防止热泼区地坪积水。</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14．4 采用渣罐倾翻固体渣工艺的中间渣场，砸渣砣作业时人员不应靠近作业区，防止落物伤人．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14．5 采用钢渣水淬工艺时，应确保冲渣水量大于最小的水渣比；发现冲渣水量小于规定值时，应停止水淬，以防爆炸。</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b/>
          <w:bCs/>
          <w:color w:val="800080"/>
          <w:kern w:val="0"/>
          <w:sz w:val="15"/>
        </w:rPr>
        <w:t>15 修炉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15．1 拆炉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15．1．1 转炉采用拆炉机拆炉期间，人员不应在炉下区域通行与停留。</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15．1．2 电炉采用风镐拆炉时，作业人员应佩戴护目镜等防护装备，并注意站位安全，防止落砖伤人．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 修炉作业施工区要求</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15．2．1 施工区应有足够照明，危险区域应设立警示标志及临时围栏等。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lastRenderedPageBreak/>
        <w:t>15. 2．2 有可能泄漏煤气、氧气、高压蒸汽、其他有害气体与烟尘的部位，应采取防护措施．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15．2．3 电炉修炉区，应设专用平台或搭建稳固的临时平台，使作业人员能安全方便地进出炉壳．</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15．2．4 施工区域耐火砖砖垛高度应不超过1．9 m，重质耐火砖砖垛高度不超过1．5 m，垛间应留宽度大于1 m的人行通道。</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15．2．5 施工区,域至车间外部，应临时建立废砖清运、耐火材料输送的专用通道，以保证安全有序、物流畅通。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15．2．6 高处作业人员应佩戴安全带。</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15．2．7 搭建修炉脚手架应经检查连接牢固，脚手架离工作面0．05～0．1m，负荷不应超过279kg／m2，其上物料不应集中放置；倾斜跳板宽度应不小于1．5 m，坡度不大于30º，防滑条间距应小于0．3m。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 转炉修炉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15．3．1 应事先全面清除炉口、炉体、汽化冷却装置、烟道口烟罩、溜料口、氧枪孔和挡渣板等周围的残钢和残渣，然后进行拆炉。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15．3．2 修炉之前，应切断氧气，堵好盲板，移开氧枪，切断炉子倾动和氧枪横移电源；关闭汇总散状料仓并切断气源；炉口应支好安全保护棚，在作业的炉底车、修炉车两侧设置轨道铁，切断钢包车和渣车的电源。</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15．3．3 应认真执行停电、挂牌制度；修炉时，砌炉地点周围不应有人。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15．3．4 在炉体内外作业，除执行停电挂牌制度外，还应将炉体倾动制动器锁定。</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15．3．5 采用上修法时，活动烟道移开后，固定烟道下方应设置盲板。</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15．3．6 采用复吹工艺时，检修前应将底部气源切断，并应采取隔离措施。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15．4 电炉修炉</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15．4．1 电炉倾动机械应锁定，炉盖旋开并锁定，液压站关闭。</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15．4．2 炉前碳氧喷枪应转至停放位并切断气源，炉底搅拌气源应切断，并采取隔离措施；氧燃烧嘴或炉壁氧枪的氧气应切断，并采取隔离措施。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15．4．3 吊运砖垛与物料，人员应避开；炉内砖垛高度应不超过1 m。</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15．4．4 操作者应站在炉壳外放置胎模，每节胎打满时应注意防止风锤崩出伤人。</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15．5 其他</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15．5．1 拆除化铁炉应自上而下进行，应站在作业点的上方操作；拆炉、砌炉所用的起重设备，应经常检查，确保安全可靠；</w:t>
      </w:r>
      <w:r w:rsidRPr="00C00027">
        <w:rPr>
          <w:rFonts w:ascii="微软雅黑" w:eastAsia="微软雅黑" w:hAnsi="微软雅黑" w:cs="宋体" w:hint="eastAsia"/>
          <w:color w:val="000000"/>
          <w:kern w:val="0"/>
          <w:sz w:val="15"/>
          <w:szCs w:val="15"/>
        </w:rPr>
        <w:lastRenderedPageBreak/>
        <w:t>并应有上下通讯联络措施。</w:t>
      </w:r>
      <w:r w:rsidRPr="00C00027">
        <w:rPr>
          <w:rFonts w:ascii="微软雅黑" w:eastAsia="微软雅黑" w:hAnsi="微软雅黑" w:cs="宋体" w:hint="eastAsia"/>
          <w:color w:val="000000"/>
          <w:kern w:val="0"/>
          <w:sz w:val="15"/>
          <w:szCs w:val="15"/>
        </w:rPr>
        <w:br/>
      </w:r>
      <w:r w:rsidRPr="00C00027">
        <w:rPr>
          <w:rFonts w:ascii="微软雅黑" w:eastAsia="微软雅黑" w:hAnsi="微软雅黑" w:cs="宋体" w:hint="eastAsia"/>
          <w:color w:val="000000"/>
          <w:kern w:val="0"/>
          <w:sz w:val="15"/>
          <w:szCs w:val="15"/>
        </w:rPr>
        <w:br/>
        <w:t>15．5．2 修炉爆破应遵守GB 6722的规定。</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1. </w:t>
      </w:r>
      <w:r>
        <w:rPr>
          <w:rStyle w:val="a7"/>
          <w:rFonts w:ascii="Arial" w:hAnsi="Arial" w:cs="Arial"/>
          <w:color w:val="191919"/>
          <w:sz w:val="15"/>
          <w:szCs w:val="15"/>
          <w:bdr w:val="none" w:sz="0" w:space="0" w:color="auto" w:frame="1"/>
        </w:rPr>
        <w:t>安全</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巡检挂牌制</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方法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巡检挂牌制</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是指在生产装置现场和生产重点部位，要实行巡检时的</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挂牌制</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操作工定期到现场按一定巡检路线进行安全检查时，一定要在现场进行挂牌警示，这对于防止因他人不明现场情况而误操作所可能引发的事故，具有重要的作用。</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2. </w:t>
      </w:r>
      <w:r>
        <w:rPr>
          <w:rStyle w:val="a7"/>
          <w:rFonts w:ascii="Arial" w:hAnsi="Arial" w:cs="Arial"/>
          <w:color w:val="191919"/>
          <w:sz w:val="15"/>
          <w:szCs w:val="15"/>
          <w:bdr w:val="none" w:sz="0" w:space="0" w:color="auto" w:frame="1"/>
        </w:rPr>
        <w:t>现场定置管理方法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为了保障安全生产，通过严格的标准化设计和建设要求规范，实现生产资料物态和职工生产与操作行为的规范化空间管理。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在车间和岗位现场，生产和作业过程的工具、设备、材料、工件等的位置要规范，要符合标准和功效学的要求，要文明管理，要进行科学物流设计。</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现场定置管理可以创造良好的生产物态环境，使物态环境的隐患得以消除</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也可以控制工人作业操作过程的空间行为状态，使行为失误减少和消除。</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定置管理由车间生产管理人员和班组长组织实施。</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3. </w:t>
      </w:r>
      <w:r>
        <w:rPr>
          <w:rStyle w:val="a7"/>
          <w:rFonts w:ascii="Arial" w:hAnsi="Arial" w:cs="Arial"/>
          <w:color w:val="191919"/>
          <w:sz w:val="15"/>
          <w:szCs w:val="15"/>
          <w:bdr w:val="none" w:sz="0" w:space="0" w:color="auto" w:frame="1"/>
        </w:rPr>
        <w:t>现场</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三点控制</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方法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即对生产现场的</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危险点、危害点、事故多发点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进行强化的控制管理，进行挂牌制，标明其危险或危害的性质、类型、标准定量、注意事项等内容，以警示现场人员。</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4. </w:t>
      </w:r>
      <w:r>
        <w:rPr>
          <w:rStyle w:val="a7"/>
          <w:rFonts w:ascii="Arial" w:hAnsi="Arial" w:cs="Arial"/>
          <w:color w:val="191919"/>
          <w:sz w:val="15"/>
          <w:szCs w:val="15"/>
          <w:bdr w:val="none" w:sz="0" w:space="0" w:color="auto" w:frame="1"/>
        </w:rPr>
        <w:t>防电气误操作</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五步操作方法</w:t>
      </w:r>
      <w:r>
        <w:rPr>
          <w:rStyle w:val="a7"/>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防电气误操作</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五步操作方法</w:t>
      </w:r>
      <w:r>
        <w:rPr>
          <w:rStyle w:val="a7"/>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是指：周密检查、认真填票、实行双监、模拟操作、口令操作。</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这种方法既从管理上层层把关，堵塞漏洞，消除思想上的误差，同时又在开动机器时要求作业人员按规范和程序操作，消除行为上的误动。</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5. </w:t>
      </w:r>
      <w:r>
        <w:rPr>
          <w:rStyle w:val="a7"/>
          <w:rFonts w:ascii="Arial" w:hAnsi="Arial" w:cs="Arial"/>
          <w:color w:val="191919"/>
          <w:sz w:val="15"/>
          <w:szCs w:val="15"/>
          <w:bdr w:val="none" w:sz="0" w:space="0" w:color="auto" w:frame="1"/>
        </w:rPr>
        <w:t>检查</w:t>
      </w:r>
      <w:r>
        <w:rPr>
          <w:rStyle w:val="a7"/>
          <w:rFonts w:ascii="Arial" w:hAnsi="Arial" w:cs="Arial"/>
          <w:color w:val="191919"/>
          <w:sz w:val="15"/>
          <w:szCs w:val="15"/>
          <w:bdr w:val="none" w:sz="0" w:space="0" w:color="auto" w:frame="1"/>
        </w:rPr>
        <w:t>“abc”</w:t>
      </w:r>
      <w:r>
        <w:rPr>
          <w:rStyle w:val="a7"/>
          <w:rFonts w:ascii="Arial" w:hAnsi="Arial" w:cs="Arial"/>
          <w:color w:val="191919"/>
          <w:sz w:val="15"/>
          <w:szCs w:val="15"/>
          <w:bdr w:val="none" w:sz="0" w:space="0" w:color="auto" w:frame="1"/>
        </w:rPr>
        <w:t>管理法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在企业定期大、小检修时，由于生产系统的检修具有设计部门杂、人员多、检修项目多、交叉项目多等特点，检修期间安全管理的难度一般较大为确保安全检修，可以利用</w:t>
      </w:r>
      <w:r>
        <w:rPr>
          <w:rStyle w:val="a7"/>
          <w:rFonts w:ascii="Arial" w:hAnsi="Arial" w:cs="Arial"/>
          <w:color w:val="191919"/>
          <w:sz w:val="15"/>
          <w:szCs w:val="15"/>
          <w:bdr w:val="none" w:sz="0" w:space="0" w:color="auto" w:frame="1"/>
        </w:rPr>
        <w:t>检修</w:t>
      </w:r>
      <w:r>
        <w:rPr>
          <w:rStyle w:val="a7"/>
          <w:rFonts w:ascii="Arial" w:hAnsi="Arial" w:cs="Arial"/>
          <w:color w:val="191919"/>
          <w:sz w:val="15"/>
          <w:szCs w:val="15"/>
          <w:bdr w:val="none" w:sz="0" w:space="0" w:color="auto" w:frame="1"/>
        </w:rPr>
        <w:t>“abc”</w:t>
      </w:r>
      <w:r>
        <w:rPr>
          <w:rStyle w:val="a7"/>
          <w:rFonts w:ascii="Arial" w:hAnsi="Arial" w:cs="Arial"/>
          <w:color w:val="191919"/>
          <w:sz w:val="15"/>
          <w:szCs w:val="15"/>
          <w:bdr w:val="none" w:sz="0" w:space="0" w:color="auto" w:frame="1"/>
        </w:rPr>
        <w:t>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即把公司控制的大修项目列为</w:t>
      </w:r>
      <w:r>
        <w:rPr>
          <w:rStyle w:val="a7"/>
          <w:rFonts w:ascii="Arial" w:hAnsi="Arial" w:cs="Arial"/>
          <w:color w:val="191919"/>
          <w:sz w:val="15"/>
          <w:szCs w:val="15"/>
          <w:bdr w:val="none" w:sz="0" w:space="0" w:color="auto" w:frame="1"/>
        </w:rPr>
        <w:t>a</w:t>
      </w:r>
      <w:r>
        <w:rPr>
          <w:rStyle w:val="a7"/>
          <w:rFonts w:ascii="Arial" w:hAnsi="Arial" w:cs="Arial"/>
          <w:color w:val="191919"/>
          <w:sz w:val="15"/>
          <w:szCs w:val="15"/>
          <w:bdr w:val="none" w:sz="0" w:space="0" w:color="auto" w:frame="1"/>
        </w:rPr>
        <w:t>类</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重点管理项目</w:t>
      </w:r>
      <w:r>
        <w:rPr>
          <w:rStyle w:val="a7"/>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厂控项目列为</w:t>
      </w:r>
      <w:r>
        <w:rPr>
          <w:rStyle w:val="a7"/>
          <w:rFonts w:ascii="Arial" w:hAnsi="Arial" w:cs="Arial"/>
          <w:color w:val="191919"/>
          <w:sz w:val="15"/>
          <w:szCs w:val="15"/>
          <w:bdr w:val="none" w:sz="0" w:space="0" w:color="auto" w:frame="1"/>
        </w:rPr>
        <w:t>b</w:t>
      </w:r>
      <w:r>
        <w:rPr>
          <w:rStyle w:val="a7"/>
          <w:rFonts w:ascii="Arial" w:hAnsi="Arial" w:cs="Arial"/>
          <w:color w:val="191919"/>
          <w:sz w:val="15"/>
          <w:szCs w:val="15"/>
          <w:bdr w:val="none" w:sz="0" w:space="0" w:color="auto" w:frame="1"/>
        </w:rPr>
        <w:t>类</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一般管理项目</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，车间控制项目列为</w:t>
      </w:r>
      <w:r>
        <w:rPr>
          <w:rStyle w:val="a7"/>
          <w:rFonts w:ascii="Arial" w:hAnsi="Arial" w:cs="Arial"/>
          <w:color w:val="191919"/>
          <w:sz w:val="15"/>
          <w:szCs w:val="15"/>
          <w:bdr w:val="none" w:sz="0" w:space="0" w:color="auto" w:frame="1"/>
        </w:rPr>
        <w:t>c</w:t>
      </w:r>
      <w:r>
        <w:rPr>
          <w:rStyle w:val="a7"/>
          <w:rFonts w:ascii="Arial" w:hAnsi="Arial" w:cs="Arial"/>
          <w:color w:val="191919"/>
          <w:sz w:val="15"/>
          <w:szCs w:val="15"/>
          <w:bdr w:val="none" w:sz="0" w:space="0" w:color="auto" w:frame="1"/>
        </w:rPr>
        <w:t>类</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次要管理项目</w:t>
      </w:r>
      <w:r>
        <w:rPr>
          <w:rStyle w:val="a7"/>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，实行三级管理控制。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a</w:t>
      </w:r>
      <w:r>
        <w:rPr>
          <w:rStyle w:val="a7"/>
          <w:rFonts w:ascii="Arial" w:hAnsi="Arial" w:cs="Arial"/>
          <w:color w:val="191919"/>
          <w:sz w:val="15"/>
          <w:szCs w:val="15"/>
          <w:bdr w:val="none" w:sz="0" w:space="0" w:color="auto" w:frame="1"/>
        </w:rPr>
        <w:t>类项目</w:t>
      </w:r>
      <w:r>
        <w:rPr>
          <w:rFonts w:ascii="Arial" w:hAnsi="Arial" w:cs="Arial"/>
          <w:color w:val="191919"/>
          <w:sz w:val="15"/>
          <w:szCs w:val="15"/>
          <w:bdr w:val="none" w:sz="0" w:space="0" w:color="auto" w:frame="1"/>
        </w:rPr>
        <w:t>要制定出每个项目的安全对策表，由项目负责人、公司安全执法部门</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三把关</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b</w:t>
      </w:r>
      <w:r>
        <w:rPr>
          <w:rStyle w:val="a7"/>
          <w:rFonts w:ascii="Arial" w:hAnsi="Arial" w:cs="Arial"/>
          <w:color w:val="191919"/>
          <w:sz w:val="15"/>
          <w:szCs w:val="15"/>
          <w:bdr w:val="none" w:sz="0" w:space="0" w:color="auto" w:frame="1"/>
        </w:rPr>
        <w:t>类</w:t>
      </w:r>
      <w:r>
        <w:rPr>
          <w:rFonts w:ascii="Arial" w:hAnsi="Arial" w:cs="Arial"/>
          <w:color w:val="191919"/>
          <w:sz w:val="15"/>
          <w:szCs w:val="15"/>
          <w:bdr w:val="none" w:sz="0" w:space="0" w:color="auto" w:frame="1"/>
        </w:rPr>
        <w:t>要制定出每个项目的安全检查表，由厂安全执法部门把关</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c</w:t>
      </w:r>
      <w:r>
        <w:rPr>
          <w:rStyle w:val="a7"/>
          <w:rFonts w:ascii="Arial" w:hAnsi="Arial" w:cs="Arial"/>
          <w:color w:val="191919"/>
          <w:sz w:val="15"/>
          <w:szCs w:val="15"/>
          <w:bdr w:val="none" w:sz="0" w:space="0" w:color="auto" w:frame="1"/>
        </w:rPr>
        <w:t>类</w:t>
      </w:r>
      <w:r>
        <w:rPr>
          <w:rFonts w:ascii="Arial" w:hAnsi="Arial" w:cs="Arial"/>
          <w:color w:val="191919"/>
          <w:sz w:val="15"/>
          <w:szCs w:val="15"/>
          <w:bdr w:val="none" w:sz="0" w:space="0" w:color="auto" w:frame="1"/>
        </w:rPr>
        <w:t>要制定出每个项目的安全承包确认书，由车间执法人员把关。</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 xml:space="preserve">6. </w:t>
      </w:r>
      <w:r>
        <w:rPr>
          <w:rStyle w:val="a7"/>
          <w:rFonts w:ascii="Arial" w:hAnsi="Arial" w:cs="Arial"/>
          <w:color w:val="191919"/>
          <w:sz w:val="15"/>
          <w:szCs w:val="15"/>
          <w:bdr w:val="none" w:sz="0" w:space="0" w:color="auto" w:frame="1"/>
        </w:rPr>
        <w:t>危险工作申请、审批制度</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易燃易爆场所的焊接、动火，进入有毒或缺氧的容器、坑道工作，非建筑行业的高空作业，以及其他容易发生危险的作业，</w:t>
      </w:r>
      <w:r>
        <w:rPr>
          <w:rFonts w:ascii="Arial" w:hAnsi="Arial" w:cs="Arial"/>
          <w:color w:val="191919"/>
          <w:sz w:val="15"/>
          <w:szCs w:val="15"/>
          <w:bdr w:val="none" w:sz="0" w:space="0" w:color="auto" w:frame="1"/>
        </w:rPr>
        <w:t>都必须在工作前制定可靠的安全措施，包括应急后备措施，向安技部门或专业机构提出申请，经审查批准方可作业，必要时设专人监护。</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企业应有相应的管理制度，将危险作业严格控制起来。</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易燃易爆、有毒危险品的运输、储存、使用也应该有严格的安全管理制度。需经常进行的危险作业，应该有完善的安全操作规程</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经常使用的危险品应该有严格的管理制度。</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7.</w:t>
      </w:r>
      <w:r>
        <w:rPr>
          <w:rStyle w:val="a7"/>
          <w:rFonts w:ascii="Arial" w:hAnsi="Arial" w:cs="Arial"/>
          <w:color w:val="191919"/>
          <w:sz w:val="15"/>
          <w:szCs w:val="15"/>
          <w:bdr w:val="none" w:sz="0" w:space="0" w:color="auto" w:frame="1"/>
        </w:rPr>
        <w:t>全面管理方法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全面管理方法是指：</w:t>
      </w:r>
      <w:r>
        <w:rPr>
          <w:rFonts w:ascii="Arial" w:hAnsi="Arial" w:cs="Arial"/>
          <w:color w:val="191919"/>
          <w:sz w:val="15"/>
          <w:szCs w:val="15"/>
          <w:bdr w:val="none" w:sz="0" w:space="0" w:color="auto" w:frame="1"/>
        </w:rPr>
        <w:t>企业应用各种法规、条例、规范等，通过安全生产责任制建设，建立安全文件系统，定员、定责，进行全面安全管理。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全面管理的目的是明确安全目标、强化安全责任、落实安技措施，做到横向管理到边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各职能部门</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、纵向管理到底</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班组岗位</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全面安全管理需要企业第一把手的支持和推动，企业各个部门和全体员工的参与。</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8.</w:t>
      </w:r>
      <w:r>
        <w:rPr>
          <w:rStyle w:val="a7"/>
          <w:rFonts w:ascii="Arial" w:hAnsi="Arial" w:cs="Arial"/>
          <w:color w:val="191919"/>
          <w:sz w:val="15"/>
          <w:szCs w:val="15"/>
          <w:bdr w:val="none" w:sz="0" w:space="0" w:color="auto" w:frame="1"/>
        </w:rPr>
        <w:t>安全目标管理方法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安全目标管理方法</w:t>
      </w:r>
      <w:r>
        <w:rPr>
          <w:rFonts w:ascii="Arial" w:hAnsi="Arial" w:cs="Arial"/>
          <w:color w:val="191919"/>
          <w:sz w:val="15"/>
          <w:szCs w:val="15"/>
          <w:bdr w:val="none" w:sz="0" w:space="0" w:color="auto" w:frame="1"/>
        </w:rPr>
        <w:t>就是企业在安全制度建设、安全措施改造、安全技术应用、安全教育等方面指定出各个工作阶段的目标，实现目标化的管理。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lastRenderedPageBreak/>
        <w:t>目标管理可以使安全管理更加科学化、系统化，避免盲目性。这种管理方法目的是使安全管理做到有目标、有计划、有步骤、有措施、有资金、有条件。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9.“</w:t>
      </w:r>
      <w:r>
        <w:rPr>
          <w:rStyle w:val="a7"/>
          <w:rFonts w:ascii="Arial" w:hAnsi="Arial" w:cs="Arial"/>
          <w:color w:val="191919"/>
          <w:sz w:val="15"/>
          <w:szCs w:val="15"/>
          <w:bdr w:val="none" w:sz="0" w:space="0" w:color="auto" w:frame="1"/>
        </w:rPr>
        <w:t>四</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全管理法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四全</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管理的内容是</w:t>
      </w:r>
      <w:r>
        <w:rPr>
          <w:rFonts w:ascii="Arial" w:hAnsi="Arial" w:cs="Arial"/>
          <w:color w:val="191919"/>
          <w:sz w:val="15"/>
          <w:szCs w:val="15"/>
          <w:bdr w:val="none" w:sz="0" w:space="0" w:color="auto" w:frame="1"/>
        </w:rPr>
        <w:t>：全员管理、全面管理、全过程管理、全天候管理。管理的目的是使人人、处处、事事、时时把安全放在首位。</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这种管理方法的对象包括：</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人员</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全体职工</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全面</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各管理部门和各生产车间、班组</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全过程</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设计、制造、运行、维修、改造等生产环节</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全天候</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全年、全月、全天。</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四全</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是一种系统的、动态的、科学的、规范化的管理方法，其关键点在于：在重视</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全</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的基础上，也要强调重点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人员、部门、过程和时间</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10.“</w:t>
      </w:r>
      <w:r>
        <w:rPr>
          <w:rStyle w:val="a7"/>
          <w:rFonts w:ascii="Arial" w:hAnsi="Arial" w:cs="Arial"/>
          <w:color w:val="191919"/>
          <w:sz w:val="15"/>
          <w:szCs w:val="15"/>
          <w:bdr w:val="none" w:sz="0" w:space="0" w:color="auto" w:frame="1"/>
        </w:rPr>
        <w:t>三群</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管理法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三群</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管理法的内容是：</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推行群策、群力、群管的管理方法，即：</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群策</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人人献计献策</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群力</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人人尊章守纪，为做好安全管理工作出力</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群管</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人人参与监督检查。</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管理目的是：</w:t>
      </w:r>
      <w:r>
        <w:rPr>
          <w:rFonts w:ascii="Arial" w:hAnsi="Arial" w:cs="Arial"/>
          <w:color w:val="191919"/>
          <w:sz w:val="15"/>
          <w:szCs w:val="15"/>
          <w:bdr w:val="none" w:sz="0" w:space="0" w:color="auto" w:frame="1"/>
        </w:rPr>
        <w:t>创造全方位的科学管理、严格管理的群众氛围，使安全责任得以贯彻、安全规章得以遵守、事故预防对策得以落实。</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这种管理方法需要全体员工的参与，一般由各级管理人员和安技部门共同组织实施。</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11.“</w:t>
      </w:r>
      <w:r>
        <w:rPr>
          <w:rStyle w:val="a7"/>
          <w:rFonts w:ascii="Arial" w:hAnsi="Arial" w:cs="Arial"/>
          <w:color w:val="191919"/>
          <w:sz w:val="15"/>
          <w:szCs w:val="15"/>
          <w:bdr w:val="none" w:sz="0" w:space="0" w:color="auto" w:frame="1"/>
        </w:rPr>
        <w:t>三负责</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三负责</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制管理的内容是</w:t>
      </w:r>
      <w:r>
        <w:rPr>
          <w:rFonts w:ascii="Arial" w:hAnsi="Arial" w:cs="Arial"/>
          <w:color w:val="191919"/>
          <w:sz w:val="15"/>
          <w:szCs w:val="15"/>
          <w:bdr w:val="none" w:sz="0" w:space="0" w:color="auto" w:frame="1"/>
        </w:rPr>
        <w:t>：从文化精神的角度激励情感、从行政与法律的角度明确</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三负责</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即向职工负责、向家人负责、向自己负责。</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采用这种管理方法的目的是通过各种教育的手段，学习规程、制度，明确责任、落实</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安全生产，人人有责</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的原则，激发安全生产的责任心与责任感。其关键问题是确定安全生产责任制，并将责任落实到位。</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12.</w:t>
      </w:r>
      <w:r>
        <w:rPr>
          <w:rStyle w:val="a7"/>
          <w:rFonts w:ascii="Arial" w:hAnsi="Arial" w:cs="Arial"/>
          <w:color w:val="191919"/>
          <w:sz w:val="15"/>
          <w:szCs w:val="15"/>
          <w:bdr w:val="none" w:sz="0" w:space="0" w:color="auto" w:frame="1"/>
        </w:rPr>
        <w:t>无隐患管理法</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无隐患管理法是通过对生产过程中的隐患进行辩识、分析、管理和控制，以达到消除事故隐患、实现本质安全化与超前预防事故的目的。</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管理中要随时对隐患当前的信息进行反馈，以便与隐患整治工程动态对应。</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管理对象涉及人、机、环境和管理四要素，安全专业部门与技术生产部门结合才能实现管理。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13.“</w:t>
      </w:r>
      <w:r>
        <w:rPr>
          <w:rStyle w:val="a7"/>
          <w:rFonts w:ascii="Arial" w:hAnsi="Arial" w:cs="Arial"/>
          <w:color w:val="191919"/>
          <w:sz w:val="15"/>
          <w:szCs w:val="15"/>
          <w:bdr w:val="none" w:sz="0" w:space="0" w:color="auto" w:frame="1"/>
        </w:rPr>
        <w:t>绿色岗位</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建设</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绿色岗位</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建设是指：</w:t>
      </w:r>
      <w:r>
        <w:rPr>
          <w:rFonts w:ascii="Arial" w:hAnsi="Arial" w:cs="Arial"/>
          <w:color w:val="191919"/>
          <w:sz w:val="15"/>
          <w:szCs w:val="15"/>
          <w:bdr w:val="none" w:sz="0" w:space="0" w:color="auto" w:frame="1"/>
        </w:rPr>
        <w:t>针对特殊危险及有害岗位进行全方位</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包括人、机、环境</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的安全建设。</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建设方式：</w:t>
      </w:r>
      <w:r>
        <w:rPr>
          <w:rFonts w:ascii="Arial" w:hAnsi="Arial" w:cs="Arial"/>
          <w:color w:val="191919"/>
          <w:sz w:val="15"/>
          <w:szCs w:val="15"/>
          <w:bdr w:val="none" w:sz="0" w:space="0" w:color="auto" w:frame="1"/>
        </w:rPr>
        <w:t>定方案、实施措施，进行工程技术的全面改造。目的：提高特殊危险作业岗位事故防范的能力。</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组织部门：</w:t>
      </w:r>
      <w:r>
        <w:rPr>
          <w:rFonts w:ascii="Arial" w:hAnsi="Arial" w:cs="Arial"/>
          <w:color w:val="191919"/>
          <w:sz w:val="15"/>
          <w:szCs w:val="15"/>
          <w:bdr w:val="none" w:sz="0" w:space="0" w:color="auto" w:frame="1"/>
        </w:rPr>
        <w:t>技术部门、安全技术部门。</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14.“</w:t>
      </w:r>
      <w:r>
        <w:rPr>
          <w:rStyle w:val="a7"/>
          <w:rFonts w:ascii="Arial" w:hAnsi="Arial" w:cs="Arial"/>
          <w:color w:val="191919"/>
          <w:sz w:val="15"/>
          <w:szCs w:val="15"/>
          <w:bdr w:val="none" w:sz="0" w:space="0" w:color="auto" w:frame="1"/>
        </w:rPr>
        <w:t>三个一</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工程</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三个一</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是指：</w:t>
      </w:r>
      <w:r>
        <w:rPr>
          <w:rFonts w:ascii="Arial" w:hAnsi="Arial" w:cs="Arial"/>
          <w:color w:val="191919"/>
          <w:sz w:val="15"/>
          <w:szCs w:val="15"/>
          <w:bdr w:val="none" w:sz="0" w:space="0" w:color="auto" w:frame="1"/>
        </w:rPr>
        <w:t>车间一套挂图，厂区一套图标，每周一场录象。</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开展</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三个一</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工程就是企业通过安全宣传挂图、标志实物等建设以及在企业闭路电视上组织收看安全录象片，加强企业全体员工的安全意识，强化安全意识。该活动一般由安全管理部门和宣传部门共同负责。</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15.</w:t>
      </w:r>
      <w:r>
        <w:rPr>
          <w:rStyle w:val="a7"/>
          <w:rFonts w:ascii="Arial" w:hAnsi="Arial" w:cs="Arial"/>
          <w:color w:val="191919"/>
          <w:sz w:val="15"/>
          <w:szCs w:val="15"/>
          <w:bdr w:val="none" w:sz="0" w:space="0" w:color="auto" w:frame="1"/>
        </w:rPr>
        <w:t>风险抵押制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采取安全生产风险抵押制方式，进行事故指标或安全措施目标控制的管理</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责任书、承包目标、考核内容、奖惩办法等</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。称为风险抵押制。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这种管理方式可以强化安全意识和安全管理的力度，使安全管理落实到实处，严格安全管理。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活动方式：</w:t>
      </w:r>
      <w:r>
        <w:rPr>
          <w:rFonts w:ascii="Arial" w:hAnsi="Arial" w:cs="Arial"/>
          <w:color w:val="191919"/>
          <w:sz w:val="15"/>
          <w:szCs w:val="15"/>
          <w:bdr w:val="none" w:sz="0" w:space="0" w:color="auto" w:frame="1"/>
        </w:rPr>
        <w:t>年初进行承包抵押，年终给予考核，根据考核结果确定其关键点在于抵押金的强度和考核的科学性。</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lastRenderedPageBreak/>
        <w:t>16.</w:t>
      </w:r>
      <w:r>
        <w:rPr>
          <w:rStyle w:val="a7"/>
          <w:rFonts w:ascii="Arial" w:hAnsi="Arial" w:cs="Arial"/>
          <w:color w:val="191919"/>
          <w:sz w:val="15"/>
          <w:szCs w:val="15"/>
          <w:bdr w:val="none" w:sz="0" w:space="0" w:color="auto" w:frame="1"/>
        </w:rPr>
        <w:t>标准化岗位建设</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三标</w:t>
      </w:r>
      <w:r>
        <w:rPr>
          <w:rStyle w:val="a7"/>
          <w:rFonts w:ascii="Arial" w:hAnsi="Arial" w:cs="Arial"/>
          <w:color w:val="191919"/>
          <w:sz w:val="15"/>
          <w:szCs w:val="15"/>
          <w:bdr w:val="none" w:sz="0" w:space="0" w:color="auto" w:frame="1"/>
        </w:rPr>
        <w:t>)</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即在车间、班组、岗位三级进行安全标准化作业</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防火</w:t>
      </w:r>
      <w:r>
        <w:rPr>
          <w:rFonts w:ascii="Arial" w:hAnsi="Arial" w:cs="Arial"/>
          <w:color w:val="191919"/>
          <w:sz w:val="15"/>
          <w:szCs w:val="15"/>
          <w:bdr w:val="none" w:sz="0" w:space="0" w:color="auto" w:frame="1"/>
        </w:rPr>
        <w:t xml:space="preserve"> </w:t>
      </w:r>
      <w:r>
        <w:rPr>
          <w:rFonts w:ascii="Arial" w:hAnsi="Arial" w:cs="Arial"/>
          <w:color w:val="191919"/>
          <w:sz w:val="15"/>
          <w:szCs w:val="15"/>
          <w:bdr w:val="none" w:sz="0" w:space="0" w:color="auto" w:frame="1"/>
        </w:rPr>
        <w:t>、防毒、防电、防尘</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建设。</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建设的方式为：</w:t>
      </w:r>
      <w:r>
        <w:rPr>
          <w:rFonts w:ascii="Arial" w:hAnsi="Arial" w:cs="Arial"/>
          <w:color w:val="191919"/>
          <w:sz w:val="15"/>
          <w:szCs w:val="15"/>
          <w:bdr w:val="none" w:sz="0" w:space="0" w:color="auto" w:frame="1"/>
        </w:rPr>
        <w:t>定项目、定标准、定内容，进行硬件工程技术建设。</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目的：</w:t>
      </w:r>
      <w:r>
        <w:rPr>
          <w:rFonts w:ascii="Arial" w:hAnsi="Arial" w:cs="Arial"/>
          <w:color w:val="191919"/>
          <w:sz w:val="15"/>
          <w:szCs w:val="15"/>
          <w:bdr w:val="none" w:sz="0" w:space="0" w:color="auto" w:frame="1"/>
        </w:rPr>
        <w:t>在硬件上做到达标合格，提高硬件的本质安全化。组织部门：技术部门、安全管理部门。</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17.“</w:t>
      </w:r>
      <w:r>
        <w:rPr>
          <w:rStyle w:val="a7"/>
          <w:rFonts w:ascii="Arial" w:hAnsi="Arial" w:cs="Arial"/>
          <w:color w:val="191919"/>
          <w:sz w:val="15"/>
          <w:szCs w:val="15"/>
          <w:bdr w:val="none" w:sz="0" w:space="0" w:color="auto" w:frame="1"/>
        </w:rPr>
        <w:t>三点</w:t>
      </w:r>
      <w:r>
        <w:rPr>
          <w:rStyle w:val="a7"/>
          <w:rFonts w:ascii="Arial" w:hAnsi="Arial" w:cs="Arial"/>
          <w:color w:val="191919"/>
          <w:sz w:val="15"/>
          <w:szCs w:val="15"/>
          <w:bdr w:val="none" w:sz="0" w:space="0" w:color="auto" w:frame="1"/>
        </w:rPr>
        <w:t>”</w:t>
      </w:r>
      <w:r>
        <w:rPr>
          <w:rStyle w:val="a7"/>
          <w:rFonts w:ascii="Arial" w:hAnsi="Arial" w:cs="Arial"/>
          <w:color w:val="191919"/>
          <w:sz w:val="15"/>
          <w:szCs w:val="15"/>
          <w:bdr w:val="none" w:sz="0" w:space="0" w:color="auto" w:frame="1"/>
        </w:rPr>
        <w:t>控制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三点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控制是指对生产现场可能的危险点、危害点和事故高发点进行重点控制。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控制方式：</w:t>
      </w:r>
      <w:r>
        <w:rPr>
          <w:rFonts w:ascii="Arial" w:hAnsi="Arial" w:cs="Arial"/>
          <w:color w:val="191919"/>
          <w:sz w:val="15"/>
          <w:szCs w:val="15"/>
          <w:bdr w:val="none" w:sz="0" w:space="0" w:color="auto" w:frame="1"/>
        </w:rPr>
        <w:t>以车间或岗位为单位，进行有目标、有责任和程序明确的分级控制与分级管理。</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目的：</w:t>
      </w:r>
      <w:r>
        <w:rPr>
          <w:rFonts w:ascii="Arial" w:hAnsi="Arial" w:cs="Arial"/>
          <w:color w:val="191919"/>
          <w:sz w:val="15"/>
          <w:szCs w:val="15"/>
          <w:bdr w:val="none" w:sz="0" w:space="0" w:color="auto" w:frame="1"/>
        </w:rPr>
        <w:t>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三点</w:t>
      </w:r>
      <w:r>
        <w:rPr>
          <w:rFonts w:ascii="Arial" w:hAnsi="Arial" w:cs="Arial"/>
          <w:color w:val="191919"/>
          <w:sz w:val="15"/>
          <w:szCs w:val="15"/>
          <w:bdr w:val="none" w:sz="0" w:space="0" w:color="auto" w:frame="1"/>
        </w:rPr>
        <w:t>”</w:t>
      </w:r>
      <w:r>
        <w:rPr>
          <w:rFonts w:ascii="Arial" w:hAnsi="Arial" w:cs="Arial"/>
          <w:color w:val="191919"/>
          <w:sz w:val="15"/>
          <w:szCs w:val="15"/>
          <w:bdr w:val="none" w:sz="0" w:space="0" w:color="auto" w:frame="1"/>
        </w:rPr>
        <w:t>做到适时、动态、重点、有效的控制。</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组织部门：</w:t>
      </w:r>
      <w:r>
        <w:rPr>
          <w:rFonts w:ascii="Arial" w:hAnsi="Arial" w:cs="Arial"/>
          <w:color w:val="191919"/>
          <w:sz w:val="15"/>
          <w:szCs w:val="15"/>
          <w:bdr w:val="none" w:sz="0" w:space="0" w:color="auto" w:frame="1"/>
        </w:rPr>
        <w:t>班组、车间、工厂安全技术部门。</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18.</w:t>
      </w:r>
      <w:r>
        <w:rPr>
          <w:rStyle w:val="a7"/>
          <w:rFonts w:ascii="Arial" w:hAnsi="Arial" w:cs="Arial"/>
          <w:color w:val="191919"/>
          <w:sz w:val="15"/>
          <w:szCs w:val="15"/>
          <w:bdr w:val="none" w:sz="0" w:space="0" w:color="auto" w:frame="1"/>
        </w:rPr>
        <w:t>四查工程</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四查工程指的是：</w:t>
      </w:r>
      <w:r>
        <w:rPr>
          <w:rFonts w:ascii="Arial" w:hAnsi="Arial" w:cs="Arial"/>
          <w:color w:val="191919"/>
          <w:sz w:val="15"/>
          <w:szCs w:val="15"/>
          <w:bdr w:val="none" w:sz="0" w:space="0" w:color="auto" w:frame="1"/>
        </w:rPr>
        <w:t>对于安全生产，要做到岗位一天一查，班组车间一周一查，厂级一月一查，公司一季一查。</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检查的内容主要是查思想、查制度、查教育、查防护品、查隐患、查三违。</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活动目的：</w:t>
      </w:r>
      <w:r>
        <w:rPr>
          <w:rFonts w:ascii="Arial" w:hAnsi="Arial" w:cs="Arial"/>
          <w:color w:val="191919"/>
          <w:sz w:val="15"/>
          <w:szCs w:val="15"/>
          <w:bdr w:val="none" w:sz="0" w:space="0" w:color="auto" w:frame="1"/>
        </w:rPr>
        <w:t>岗位设施安全运行，工人安全操作，班组安全作业，安全管理规范化。组织部门与人员：班组长、车间主任、安全管理部门人员。</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19.</w:t>
      </w:r>
      <w:r>
        <w:rPr>
          <w:rStyle w:val="a7"/>
          <w:rFonts w:ascii="Arial" w:hAnsi="Arial" w:cs="Arial"/>
          <w:color w:val="191919"/>
          <w:sz w:val="15"/>
          <w:szCs w:val="15"/>
          <w:bdr w:val="none" w:sz="0" w:space="0" w:color="auto" w:frame="1"/>
        </w:rPr>
        <w:t>安全管理效能检查</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Fonts w:ascii="Arial" w:hAnsi="Arial" w:cs="Arial"/>
          <w:color w:val="191919"/>
          <w:sz w:val="15"/>
          <w:szCs w:val="15"/>
          <w:bdr w:val="none" w:sz="0" w:space="0" w:color="auto" w:frame="1"/>
        </w:rPr>
        <w:t>即对企业的安全管理机构、人员、职能、制度、经费投入等安全管理的效能进行全面系统的检查，促进企业完善安全管理、提高安全管理效能。</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活动方式：</w:t>
      </w:r>
      <w:r>
        <w:rPr>
          <w:rFonts w:ascii="Arial" w:hAnsi="Arial" w:cs="Arial"/>
          <w:color w:val="191919"/>
          <w:sz w:val="15"/>
          <w:szCs w:val="15"/>
          <w:bdr w:val="none" w:sz="0" w:space="0" w:color="auto" w:frame="1"/>
        </w:rPr>
        <w:t>分层次和对象，采用座谈分析、项目对照的方式，用各级部门和人员的职能安全目标进行检查。</w:t>
      </w:r>
    </w:p>
    <w:p w:rsidR="00C00027" w:rsidRDefault="00C00027" w:rsidP="00C00027">
      <w:pPr>
        <w:pStyle w:val="a6"/>
        <w:shd w:val="clear" w:color="auto" w:fill="FFFFFF"/>
        <w:spacing w:before="0" w:beforeAutospacing="0" w:after="0" w:afterAutospacing="0"/>
        <w:rPr>
          <w:rFonts w:ascii="Arial" w:hAnsi="Arial" w:cs="Arial"/>
          <w:color w:val="191919"/>
          <w:sz w:val="15"/>
          <w:szCs w:val="15"/>
        </w:rPr>
      </w:pPr>
      <w:r>
        <w:rPr>
          <w:rStyle w:val="a7"/>
          <w:rFonts w:ascii="Arial" w:hAnsi="Arial" w:cs="Arial"/>
          <w:color w:val="191919"/>
          <w:sz w:val="15"/>
          <w:szCs w:val="15"/>
          <w:bdr w:val="none" w:sz="0" w:space="0" w:color="auto" w:frame="1"/>
        </w:rPr>
        <w:t>活动组织部门：</w:t>
      </w:r>
      <w:r>
        <w:rPr>
          <w:rFonts w:ascii="Arial" w:hAnsi="Arial" w:cs="Arial"/>
          <w:color w:val="191919"/>
          <w:sz w:val="15"/>
          <w:szCs w:val="15"/>
          <w:bdr w:val="none" w:sz="0" w:space="0" w:color="auto" w:frame="1"/>
        </w:rPr>
        <w:t>企业第一负责人、人事、安全部门。</w:t>
      </w:r>
    </w:p>
    <w:p w:rsidR="0076538D" w:rsidRDefault="0076538D" w:rsidP="0076538D">
      <w:pPr>
        <w:pStyle w:val="3"/>
        <w:pBdr>
          <w:bottom w:val="single" w:sz="18" w:space="0" w:color="CCCCCC"/>
        </w:pBdr>
        <w:spacing w:before="187" w:after="187" w:line="374" w:lineRule="atLeast"/>
        <w:ind w:left="187" w:right="187"/>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钢铁企业的质量管理方式跃进</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中国钢铁行业近年来正面临着内外环境的巨大变化，用户对产品质量的要求越来越高，尤其是汽车工业、高端家电等行业对钢材产品的质量要求日趋严格，产品的个性化需求越来越多，同时国内钢铁企业面临的行业竞争也日渐加剧。各钢铁企业都高度重视质量管理工作。但传统的质量管理方式已经难以满足当前用户对产品质量的要求，而充分利用大数据提高质量管理的效率，从而提升企业的产品竞争力，已被越来越多的钢铁企业管理者所认同。</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Style w:val="a7"/>
          <w:rFonts w:ascii="微软雅黑" w:eastAsia="微软雅黑" w:hAnsi="微软雅黑" w:hint="eastAsia"/>
          <w:color w:val="333333"/>
          <w:sz w:val="13"/>
          <w:szCs w:val="13"/>
        </w:rPr>
        <w:t>一、目前钢铁企业质量管理普遍存在的问题</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国内大部分钢铁企业的信息化系统都是分阶段、分产线和不同区域分步实施上线的，其功能不够系统和完善。客户的个性化需求无法全部在质量设计中体现；生产质量实绩数据散落于不同的信息系统内，上下工序间的质量信息不能实现贯通和共享，对产品实现过程的信息和质量信息跟踪追溯困难；对产品实现的过程质量控制缺乏有效的监控，无法进行跨工序的跟踪、传递、追溯和改进验证，过程发生异常时信息无法及时获取和采取应对措施；不能完全实现过程参数判钢，判定效率低下，代表性不强，准确度不高；研发和工艺技术人员无法完整、快速获取全工序的过程数据，系统不能为质量设计和分析改进提供支持，导致质量设计和改进的效率低、效果不理想等诸多问题。钢铁企业要实现与市场、用户的无缝衔接，提升企业的竞争力，就要对质量管理工作进行创新，提高企业在“质量设计、质量判定、质量改进”等质量管理方面的工作效率和效果，满足客户个性化需求；有必要将散落在各产线、各系统中的生产质量数据采集并整合在一个大数据平台上，在此平台上构建一个集“客户需求识别→基于个性化需求的质量设计→过程质量监控→包含过程参数的质量判定→全工序质量分析与改进”为一体的质量管理信息化系统，以支撑生产的全流程质量管控及多业务协同。</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Style w:val="a7"/>
          <w:rFonts w:ascii="微软雅黑" w:eastAsia="微软雅黑" w:hAnsi="微软雅黑" w:hint="eastAsia"/>
          <w:color w:val="333333"/>
          <w:sz w:val="13"/>
          <w:szCs w:val="13"/>
        </w:rPr>
        <w:t>二、建立企业级的大数据管理应用平台</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建立企业级的大数据管理应用平台，即工厂数据库。根据质量管理业务的要求，建立质量数据采集规则，将产品实现过程的全部数据，包括原辅材料采购、炼钢、连铸、热轧、冷轧、产品出厂以及销售、用户使用等的产品全生命周期内的所有质量信息采集到大数据管理应用平台上，对质量数据进行集中统一管理。1.数据采集数据采集可分为过程实时数据采集和产品质量数据采集。按设定的采集要求，主要对包括企业信息化系统和现场检测仪表的数据进行自动采集。对不能自动采集的一些常见事件、状态等，在各数据采集服务设置相应的手工数据输入页面，由操作人员根据实际情况录入相应的数据。数据归集是对已收集到的生产过程数据和跟踪数据以确定的格式进行整理归集。炼钢和连铸以生产炉次号为采集主对象，以铸坯号为归集目标，记录生产炉次所对应的生产线上实时生产过程数据。热轧按批（卷）号和长度为跟踪单元进行精确地生产过程数据归集。冷轧覆盖酸洗、热镀锌以及彩涂等生产线，其数据归集以准确物料跟踪为基础，以钢卷号和带钢长度为跟踪单元，记录生产线上带钢所对应的测量点</w:t>
      </w:r>
      <w:r>
        <w:rPr>
          <w:rFonts w:ascii="微软雅黑" w:eastAsia="微软雅黑" w:hAnsi="微软雅黑" w:hint="eastAsia"/>
          <w:color w:val="333333"/>
          <w:sz w:val="13"/>
          <w:szCs w:val="13"/>
        </w:rPr>
        <w:lastRenderedPageBreak/>
        <w:t>位置的实时生产过程数据，将生产过程数据与钢卷号、带钢长度进行匹配。2.数据处理数据处理是根据工艺特性和分析需求所定制的规则，使数据成为有效的信息。建立相应的数据之间的关系，并按存储模型的要求进行存储。大数据管理应用平台可以将过程参数匹配到板坯或钢卷的相应位置上，以实现对各产线质量数据的采集和匹配（即将时间轴转换为位置轴）。</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Style w:val="a7"/>
          <w:rFonts w:ascii="微软雅黑" w:eastAsia="微软雅黑" w:hAnsi="微软雅黑" w:hint="eastAsia"/>
          <w:color w:val="333333"/>
          <w:sz w:val="13"/>
          <w:szCs w:val="13"/>
        </w:rPr>
        <w:t>三、大数据下的质量管理应用与创新</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通过构建企业级的大数据管理应用平台，对产品实施过程质量信息采集、质量设计、质量监控、在线质量判定、过程质量追溯、质量分析和改进。实时监控产品的质量情况，以评价各产线质量水平。在质量管理信息化系统中建立相关产品和冶金规范库，作为质量判定和改进的依据。通过质量管理应用软件和分析工具解决质量控制、工艺优化和质量分析改进等问题。</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1.基于大数据下的质量设计</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利用大数据管理应用平台建立集中统一的产品规范数据库和冶金规范数据库，实现产品质量设计标准化和模块化。产品规范库模块是指对产品质量设计规范数据库及工艺设计规则的模块化管理。产品和冶金规范库的建立需要明确产品本质属性定义、产品的使用要求、用户特殊需求等事项，对产品从炼钢到最终成品进行的工艺路径设计、生产工艺目标控制参数设计、产品质量控制要求及性能取样判定标准等产品过程控制的规范化管理。贯彻产品质量是设计出来的理念，基于大数据管理应用平台中的历史数据开展产品质量设计，在成分设计、工序参数选择、工艺路线确定等环节，通过历史数据来确定最佳的产品设计和过程设计。ERP系统完成产品设计，质量信息化管理系统完成过程设计和客户特殊需求的补充设计。即与ERP下达的质量设计结果在相互校验、补充完善后，形成完整的产品制造过程控制目标、检验与判定标准。质量设计的结果可以自动按照规定格式形成质量计划、控制计划等技术文档。质量管理信息化系统支持对质量设计的规则基于历史数据进行验证，即质量设计完成后，用历史数据对质量设计的规则进行验证，从而可以准确地对未来产品的接单能力做出评估。</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2.利用大数据对过程质量实施监控和评价</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1）基于实时的大数据平台，依据冶金规范中的参数值，应用SPC判异规则，对影响产品质量的重要工艺参数实施在线监控及预警。建立过程质量预警系统，及时向现场操作及质量管理岗位提供制造过程重要工艺参数变化及预警信息，对质量异常事件自动进行报警。（2）对关键工艺参数采用SPC规则进行监控，进行关键工艺参数分析，通过维护判异准则，自动生成控制图，形成评价报告。（3）开发产线质量评价模型，综合过程参数、产品指标参数、生产装备情况，定期自动对产线进行质量控制能力指数评价，以利于产品质量的持续改善。（4）针对一些无法直接测量的工艺质量参数，采用软件测量模型进行预报后，并统一纳入监控参数进行监控。（5）建立专家质量诊断系统，在产线出现质量问题时，利用大数据快速定位导致问题出现的工序及关键工艺参数，提出预诊断报告书。</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3.应用大数据实现质量自动判定</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产品质量的自动判定：包括铸坯分级判定、过程产品判定和热轧、冷轧、涂镀等产品的出厂检验判定。当产品生产完成后，质量管理信息化系统根据预先维护的质量检验判定规则对产品进行自动质量判定。判定使用的数据包括订单信息、钢种信息、产品的理化检验结果、过程质量参数、过程异常事件、产品外形尺寸、表面质量数据等。（1）铸坯质量分级判定：依据板坯质量判定规则，对炼钢的转炉、合金微调站、LF炉、RH、连铸等各工序的工艺参数，以及铸坯表面质量的检查结果，完成板坯质量分级判定，最终的综合质量结果会匹配到每一块板坯。（2）产品表面缺陷自动判定：钢卷的表面质量自动判定是基于表面检测系统对表面缺陷的准确识别和维护一套完善的表面缺陷检判规则，最终实现对表检仪检测出的缺陷进行自动判定。（3）出厂产品的质量判定：依据产品质量判定规则，对采集热轧各产线表面质量检查仪的系统数据和图片，并准确识别各种缺陷，实现自动判定。根据冷轧各产线表面质量检查仪的系统数据和图片，依据判定标准并结合客户特殊需求，实现自动判定。</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4.工序质量追溯和表面缺陷跟踪</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基于大数据管理应用平台，实现了从炼钢、连铸、热轧、冷轧、涂镀等产品的全流程工艺质量追溯和分析。可按物料、订单、时间、钢种等多种条件追溯，获取多工序的过程参数、质量参数，进行工艺质量数据追溯分析、工艺设定数据追溯、产品质量数据追溯、同批次物料工艺参数对比追溯分析、跨工序工艺质量参数追溯分析等，以找出制造过程工艺、质量参数等差异，定位问题的原因。</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5.大数据基础上的质量持续改进</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应用大数据管理应用平台和统计分析工具，建立质量管理、质量设计、工艺优化质量数据分析平台，为工艺技术人员持续改进产品质量和新产品开发提供支持。通过大数据管理应用平台，实现了对客户技术档案的管理，包括客户的基本信息、客户的原材料采购信息、客户的产品信息、客户的质量反馈及客户的特殊需求等信息的管理。也可以基于客户服务系统的质量异议数据库，对质量异议进行统计和分析，对发生质量异议的产品进行全流程的质量追溯。建立了高效、便捷的数据分析工具及KPI报表生成工具，以便于对质量状况进行分析。可以按照班、日、周、月、年自动生成统计报表。大数据下的企业质量管理创新，实现了质量管理的精细化和高效化，大大提高了质量管理的效率和水平。大数据管理平台，采集从原辅材料进厂到产品运达用户使用全过程的质量数据，实现了质量数据的集中统一管理和高效利用；在大数据平台上基于数据和分析进行的质量设计、质量监控、质量判定和质量分析改进更加严谨精准和及时规范，有利于满足用户提出的个性化需求，为从根本上实现品种结构的转型升级提供</w:t>
      </w:r>
      <w:r>
        <w:rPr>
          <w:rFonts w:ascii="微软雅黑" w:eastAsia="微软雅黑" w:hAnsi="微软雅黑" w:hint="eastAsia"/>
          <w:color w:val="333333"/>
          <w:sz w:val="13"/>
          <w:szCs w:val="13"/>
        </w:rPr>
        <w:lastRenderedPageBreak/>
        <w:t>基础保障。但也需要特别指出，实时采集的数据与钢卷的精确匹配极为关键，匹配的准确性将直接影响缺陷跟踪的准确性，最终影响质量追溯、处置的准确性和产品质量分析改进的效果。</w:t>
      </w:r>
    </w:p>
    <w:p w:rsidR="0076538D" w:rsidRDefault="0076538D" w:rsidP="0076538D">
      <w:pPr>
        <w:pStyle w:val="a6"/>
        <w:spacing w:before="0" w:beforeAutospacing="0" w:after="0" w:afterAutospacing="0" w:line="281" w:lineRule="atLeast"/>
        <w:ind w:firstLine="224"/>
        <w:rPr>
          <w:rFonts w:ascii="微软雅黑" w:eastAsia="微软雅黑" w:hAnsi="微软雅黑"/>
          <w:color w:val="333333"/>
          <w:sz w:val="13"/>
          <w:szCs w:val="13"/>
        </w:rPr>
      </w:pPr>
      <w:r>
        <w:rPr>
          <w:rFonts w:ascii="微软雅黑" w:eastAsia="微软雅黑" w:hAnsi="微软雅黑" w:hint="eastAsia"/>
          <w:color w:val="333333"/>
          <w:sz w:val="13"/>
          <w:szCs w:val="13"/>
        </w:rPr>
        <w:t>单位:</w:t>
      </w:r>
      <w:r w:rsidR="00847BF9">
        <w:rPr>
          <w:rFonts w:ascii="微软雅黑" w:eastAsia="微软雅黑" w:hAnsi="微软雅黑" w:hint="eastAsia"/>
          <w:color w:val="333333"/>
          <w:sz w:val="13"/>
          <w:szCs w:val="13"/>
        </w:rPr>
        <w:t>永洋特钢股份有限公司</w:t>
      </w:r>
    </w:p>
    <w:p w:rsidR="00C00027" w:rsidRPr="0076538D" w:rsidRDefault="00C00027" w:rsidP="00C00027">
      <w:pPr>
        <w:widowControl/>
        <w:shd w:val="clear" w:color="auto" w:fill="FFFFFF"/>
        <w:spacing w:line="299" w:lineRule="atLeast"/>
        <w:jc w:val="left"/>
        <w:rPr>
          <w:rFonts w:ascii="微软雅黑" w:eastAsia="微软雅黑" w:hAnsi="微软雅黑" w:cs="宋体"/>
          <w:color w:val="000000"/>
          <w:kern w:val="0"/>
          <w:sz w:val="15"/>
          <w:szCs w:val="15"/>
        </w:rPr>
      </w:pPr>
    </w:p>
    <w:sectPr w:rsidR="00C00027" w:rsidRPr="0076538D" w:rsidSect="00EE48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77A" w:rsidRDefault="0099177A" w:rsidP="00C00027">
      <w:r>
        <w:separator/>
      </w:r>
    </w:p>
  </w:endnote>
  <w:endnote w:type="continuationSeparator" w:id="1">
    <w:p w:rsidR="0099177A" w:rsidRDefault="0099177A" w:rsidP="00C000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77A" w:rsidRDefault="0099177A" w:rsidP="00C00027">
      <w:r>
        <w:separator/>
      </w:r>
    </w:p>
  </w:footnote>
  <w:footnote w:type="continuationSeparator" w:id="1">
    <w:p w:rsidR="0099177A" w:rsidRDefault="0099177A" w:rsidP="00C000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F44F5"/>
    <w:multiLevelType w:val="multilevel"/>
    <w:tmpl w:val="998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0027"/>
    <w:rsid w:val="004425A6"/>
    <w:rsid w:val="0049412B"/>
    <w:rsid w:val="0076538D"/>
    <w:rsid w:val="00847BF9"/>
    <w:rsid w:val="0099177A"/>
    <w:rsid w:val="00B10D45"/>
    <w:rsid w:val="00BC548B"/>
    <w:rsid w:val="00C00027"/>
    <w:rsid w:val="00E8427E"/>
    <w:rsid w:val="00EE48B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8B4"/>
    <w:pPr>
      <w:widowControl w:val="0"/>
      <w:jc w:val="both"/>
    </w:pPr>
  </w:style>
  <w:style w:type="paragraph" w:styleId="1">
    <w:name w:val="heading 1"/>
    <w:basedOn w:val="a"/>
    <w:link w:val="1Char"/>
    <w:uiPriority w:val="9"/>
    <w:qFormat/>
    <w:rsid w:val="00C00027"/>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76538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000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00027"/>
    <w:rPr>
      <w:sz w:val="18"/>
      <w:szCs w:val="18"/>
    </w:rPr>
  </w:style>
  <w:style w:type="paragraph" w:styleId="a4">
    <w:name w:val="footer"/>
    <w:basedOn w:val="a"/>
    <w:link w:val="Char0"/>
    <w:uiPriority w:val="99"/>
    <w:semiHidden/>
    <w:unhideWhenUsed/>
    <w:rsid w:val="00C000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00027"/>
    <w:rPr>
      <w:sz w:val="18"/>
      <w:szCs w:val="18"/>
    </w:rPr>
  </w:style>
  <w:style w:type="character" w:customStyle="1" w:styleId="1Char">
    <w:name w:val="标题 1 Char"/>
    <w:basedOn w:val="a0"/>
    <w:link w:val="1"/>
    <w:uiPriority w:val="9"/>
    <w:rsid w:val="00C00027"/>
    <w:rPr>
      <w:rFonts w:ascii="宋体" w:eastAsia="宋体" w:hAnsi="宋体" w:cs="宋体"/>
      <w:b/>
      <w:bCs/>
      <w:kern w:val="36"/>
      <w:sz w:val="48"/>
      <w:szCs w:val="48"/>
    </w:rPr>
  </w:style>
  <w:style w:type="character" w:styleId="a5">
    <w:name w:val="Hyperlink"/>
    <w:basedOn w:val="a0"/>
    <w:uiPriority w:val="99"/>
    <w:semiHidden/>
    <w:unhideWhenUsed/>
    <w:rsid w:val="00C00027"/>
    <w:rPr>
      <w:color w:val="0000FF"/>
      <w:u w:val="single"/>
    </w:rPr>
  </w:style>
  <w:style w:type="paragraph" w:styleId="a6">
    <w:name w:val="Normal (Web)"/>
    <w:basedOn w:val="a"/>
    <w:uiPriority w:val="99"/>
    <w:semiHidden/>
    <w:unhideWhenUsed/>
    <w:rsid w:val="00C00027"/>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C00027"/>
    <w:rPr>
      <w:b/>
      <w:bCs/>
    </w:rPr>
  </w:style>
  <w:style w:type="paragraph" w:styleId="a8">
    <w:name w:val="Balloon Text"/>
    <w:basedOn w:val="a"/>
    <w:link w:val="Char1"/>
    <w:uiPriority w:val="99"/>
    <w:semiHidden/>
    <w:unhideWhenUsed/>
    <w:rsid w:val="00C00027"/>
    <w:rPr>
      <w:sz w:val="18"/>
      <w:szCs w:val="18"/>
    </w:rPr>
  </w:style>
  <w:style w:type="character" w:customStyle="1" w:styleId="Char1">
    <w:name w:val="批注框文本 Char"/>
    <w:basedOn w:val="a0"/>
    <w:link w:val="a8"/>
    <w:uiPriority w:val="99"/>
    <w:semiHidden/>
    <w:rsid w:val="00C00027"/>
    <w:rPr>
      <w:sz w:val="18"/>
      <w:szCs w:val="18"/>
    </w:rPr>
  </w:style>
  <w:style w:type="character" w:customStyle="1" w:styleId="3Char">
    <w:name w:val="标题 3 Char"/>
    <w:basedOn w:val="a0"/>
    <w:link w:val="3"/>
    <w:uiPriority w:val="9"/>
    <w:semiHidden/>
    <w:rsid w:val="0076538D"/>
    <w:rPr>
      <w:b/>
      <w:bCs/>
      <w:sz w:val="32"/>
      <w:szCs w:val="32"/>
    </w:rPr>
  </w:style>
</w:styles>
</file>

<file path=word/webSettings.xml><?xml version="1.0" encoding="utf-8"?>
<w:webSettings xmlns:r="http://schemas.openxmlformats.org/officeDocument/2006/relationships" xmlns:w="http://schemas.openxmlformats.org/wordprocessingml/2006/main">
  <w:divs>
    <w:div w:id="493184274">
      <w:bodyDiv w:val="1"/>
      <w:marLeft w:val="0"/>
      <w:marRight w:val="0"/>
      <w:marTop w:val="0"/>
      <w:marBottom w:val="0"/>
      <w:divBdr>
        <w:top w:val="none" w:sz="0" w:space="0" w:color="auto"/>
        <w:left w:val="none" w:sz="0" w:space="0" w:color="auto"/>
        <w:bottom w:val="none" w:sz="0" w:space="0" w:color="auto"/>
        <w:right w:val="none" w:sz="0" w:space="0" w:color="auto"/>
      </w:divBdr>
      <w:divsChild>
        <w:div w:id="2011373042">
          <w:marLeft w:val="0"/>
          <w:marRight w:val="0"/>
          <w:marTop w:val="0"/>
          <w:marBottom w:val="0"/>
          <w:divBdr>
            <w:top w:val="none" w:sz="0" w:space="0" w:color="auto"/>
            <w:left w:val="none" w:sz="0" w:space="0" w:color="auto"/>
            <w:bottom w:val="none" w:sz="0" w:space="0" w:color="auto"/>
            <w:right w:val="none" w:sz="0" w:space="0" w:color="auto"/>
          </w:divBdr>
          <w:divsChild>
            <w:div w:id="274288915">
              <w:marLeft w:val="0"/>
              <w:marRight w:val="0"/>
              <w:marTop w:val="0"/>
              <w:marBottom w:val="0"/>
              <w:divBdr>
                <w:top w:val="none" w:sz="0" w:space="0" w:color="auto"/>
                <w:left w:val="single" w:sz="4" w:space="0" w:color="637994"/>
                <w:bottom w:val="none" w:sz="0" w:space="0" w:color="auto"/>
                <w:right w:val="single" w:sz="4" w:space="0" w:color="637994"/>
              </w:divBdr>
            </w:div>
          </w:divsChild>
        </w:div>
        <w:div w:id="894312848">
          <w:marLeft w:val="0"/>
          <w:marRight w:val="0"/>
          <w:marTop w:val="0"/>
          <w:marBottom w:val="0"/>
          <w:divBdr>
            <w:top w:val="none" w:sz="0" w:space="0" w:color="auto"/>
            <w:left w:val="none" w:sz="0" w:space="0" w:color="auto"/>
            <w:bottom w:val="none" w:sz="0" w:space="0" w:color="auto"/>
            <w:right w:val="none" w:sz="0" w:space="0" w:color="auto"/>
          </w:divBdr>
          <w:divsChild>
            <w:div w:id="1348866687">
              <w:marLeft w:val="0"/>
              <w:marRight w:val="0"/>
              <w:marTop w:val="94"/>
              <w:marBottom w:val="94"/>
              <w:divBdr>
                <w:top w:val="none" w:sz="0" w:space="0" w:color="auto"/>
                <w:left w:val="none" w:sz="0" w:space="0" w:color="auto"/>
                <w:bottom w:val="none" w:sz="0" w:space="0" w:color="auto"/>
                <w:right w:val="none" w:sz="0" w:space="0" w:color="auto"/>
              </w:divBdr>
            </w:div>
            <w:div w:id="1206260198">
              <w:marLeft w:val="0"/>
              <w:marRight w:val="0"/>
              <w:marTop w:val="94"/>
              <w:marBottom w:val="94"/>
              <w:divBdr>
                <w:top w:val="none" w:sz="0" w:space="0" w:color="auto"/>
                <w:left w:val="none" w:sz="0" w:space="0" w:color="auto"/>
                <w:bottom w:val="none" w:sz="0" w:space="0" w:color="auto"/>
                <w:right w:val="none" w:sz="0" w:space="0" w:color="auto"/>
              </w:divBdr>
              <w:divsChild>
                <w:div w:id="2091929647">
                  <w:marLeft w:val="0"/>
                  <w:marRight w:val="0"/>
                  <w:marTop w:val="100"/>
                  <w:marBottom w:val="100"/>
                  <w:divBdr>
                    <w:top w:val="none" w:sz="0" w:space="0" w:color="auto"/>
                    <w:left w:val="none" w:sz="0" w:space="0" w:color="auto"/>
                    <w:bottom w:val="none" w:sz="0" w:space="0" w:color="auto"/>
                    <w:right w:val="none" w:sz="0" w:space="0" w:color="auto"/>
                  </w:divBdr>
                  <w:divsChild>
                    <w:div w:id="955478034">
                      <w:marLeft w:val="0"/>
                      <w:marRight w:val="0"/>
                      <w:marTop w:val="561"/>
                      <w:marBottom w:val="0"/>
                      <w:divBdr>
                        <w:top w:val="none" w:sz="0" w:space="0" w:color="auto"/>
                        <w:left w:val="none" w:sz="0" w:space="0" w:color="auto"/>
                        <w:bottom w:val="single" w:sz="8" w:space="0" w:color="333333"/>
                        <w:right w:val="none" w:sz="0" w:space="0" w:color="auto"/>
                      </w:divBdr>
                      <w:divsChild>
                        <w:div w:id="710035542">
                          <w:marLeft w:val="0"/>
                          <w:marRight w:val="94"/>
                          <w:marTop w:val="94"/>
                          <w:marBottom w:val="0"/>
                          <w:divBdr>
                            <w:top w:val="none" w:sz="0" w:space="0" w:color="auto"/>
                            <w:left w:val="none" w:sz="0" w:space="0" w:color="auto"/>
                            <w:bottom w:val="none" w:sz="0" w:space="0" w:color="auto"/>
                            <w:right w:val="none" w:sz="0" w:space="0" w:color="auto"/>
                          </w:divBdr>
                        </w:div>
                      </w:divsChild>
                    </w:div>
                    <w:div w:id="388117828">
                      <w:marLeft w:val="94"/>
                      <w:marRight w:val="94"/>
                      <w:marTop w:val="94"/>
                      <w:marBottom w:val="94"/>
                      <w:divBdr>
                        <w:top w:val="none" w:sz="0" w:space="0" w:color="auto"/>
                        <w:left w:val="none" w:sz="0" w:space="0" w:color="auto"/>
                        <w:bottom w:val="none" w:sz="0" w:space="0" w:color="auto"/>
                        <w:right w:val="none" w:sz="0" w:space="0" w:color="auto"/>
                      </w:divBdr>
                    </w:div>
                  </w:divsChild>
                </w:div>
              </w:divsChild>
            </w:div>
          </w:divsChild>
        </w:div>
      </w:divsChild>
    </w:div>
    <w:div w:id="1042243996">
      <w:bodyDiv w:val="1"/>
      <w:marLeft w:val="0"/>
      <w:marRight w:val="0"/>
      <w:marTop w:val="0"/>
      <w:marBottom w:val="0"/>
      <w:divBdr>
        <w:top w:val="none" w:sz="0" w:space="0" w:color="auto"/>
        <w:left w:val="none" w:sz="0" w:space="0" w:color="auto"/>
        <w:bottom w:val="none" w:sz="0" w:space="0" w:color="auto"/>
        <w:right w:val="none" w:sz="0" w:space="0" w:color="auto"/>
      </w:divBdr>
      <w:divsChild>
        <w:div w:id="1254976569">
          <w:marLeft w:val="0"/>
          <w:marRight w:val="0"/>
          <w:marTop w:val="0"/>
          <w:marBottom w:val="0"/>
          <w:divBdr>
            <w:top w:val="none" w:sz="0" w:space="0" w:color="auto"/>
            <w:left w:val="none" w:sz="0" w:space="0" w:color="auto"/>
            <w:bottom w:val="none" w:sz="0" w:space="0" w:color="auto"/>
            <w:right w:val="none" w:sz="0" w:space="0" w:color="auto"/>
          </w:divBdr>
        </w:div>
        <w:div w:id="1898666545">
          <w:marLeft w:val="94"/>
          <w:marRight w:val="94"/>
          <w:marTop w:val="94"/>
          <w:marBottom w:val="94"/>
          <w:divBdr>
            <w:top w:val="none" w:sz="0" w:space="0" w:color="auto"/>
            <w:left w:val="none" w:sz="0" w:space="0" w:color="auto"/>
            <w:bottom w:val="none" w:sz="0" w:space="0" w:color="auto"/>
            <w:right w:val="none" w:sz="0" w:space="0" w:color="auto"/>
          </w:divBdr>
        </w:div>
      </w:divsChild>
    </w:div>
    <w:div w:id="107793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aizi.org.cn/law/8557.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izi.org.cn/law/8557.html"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izi.org.cn/bz/34665.html" TargetMode="External"/><Relationship Id="rId5" Type="http://schemas.openxmlformats.org/officeDocument/2006/relationships/footnotes" Target="footnotes.xml"/><Relationship Id="rId10" Type="http://schemas.openxmlformats.org/officeDocument/2006/relationships/hyperlink" Target="https://www.waizi.org.cn/law/8556.html" TargetMode="External"/><Relationship Id="rId4" Type="http://schemas.openxmlformats.org/officeDocument/2006/relationships/webSettings" Target="webSettings.xml"/><Relationship Id="rId9" Type="http://schemas.openxmlformats.org/officeDocument/2006/relationships/hyperlink" Target="https://www.waizi.org.cn/doc/21975.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31</Pages>
  <Words>4622</Words>
  <Characters>26348</Characters>
  <Application>Microsoft Office Word</Application>
  <DocSecurity>0</DocSecurity>
  <Lines>219</Lines>
  <Paragraphs>61</Paragraphs>
  <ScaleCrop>false</ScaleCrop>
  <Company>Microsoft</Company>
  <LinksUpToDate>false</LinksUpToDate>
  <CharactersWithSpaces>30909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cp:revision>
  <dcterms:created xsi:type="dcterms:W3CDTF">2022-08-26T11:20:00Z</dcterms:created>
  <dcterms:modified xsi:type="dcterms:W3CDTF">2023-10-08T08:19:00Z</dcterms:modified>
</cp:coreProperties>
</file>